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00DBC" w:rsidRDefault="003B6979" w:rsidP="00347015">
      <w:pPr>
        <w:tabs>
          <w:tab w:val="center" w:pos="4819"/>
          <w:tab w:val="left" w:pos="7140"/>
        </w:tabs>
        <w:rPr>
          <w:rFonts w:ascii="Verdana" w:hAnsi="Verdana"/>
          <w:b/>
          <w:sz w:val="32"/>
          <w:szCs w:val="32"/>
          <w:lang w:val="en-US"/>
        </w:rPr>
      </w:pPr>
      <w:bookmarkStart w:id="0" w:name="_GoBack"/>
      <w:bookmarkEnd w:id="0"/>
      <w:r w:rsidRPr="00300DBC">
        <w:rPr>
          <w:rFonts w:ascii="Verdana" w:hAnsi="Verdana"/>
          <w:b/>
          <w:sz w:val="32"/>
          <w:szCs w:val="32"/>
          <w:lang w:val="en-US"/>
        </w:rPr>
        <w:tab/>
      </w:r>
      <w:r w:rsidRPr="00300DBC">
        <w:rPr>
          <w:rFonts w:ascii="Verdana" w:hAnsi="Verdana"/>
          <w:b/>
          <w:sz w:val="32"/>
          <w:szCs w:val="32"/>
          <w:lang w:val="en-US"/>
        </w:rPr>
        <w:tab/>
      </w:r>
    </w:p>
    <w:p w14:paraId="2D98387B" w14:textId="2CDBCE7D" w:rsidR="007674ED" w:rsidRPr="00300DBC" w:rsidRDefault="007674ED" w:rsidP="00347015">
      <w:pPr>
        <w:rPr>
          <w:rFonts w:ascii="Verdana" w:hAnsi="Verdana"/>
          <w:b/>
          <w:lang w:val="en-US"/>
        </w:rPr>
      </w:pPr>
      <w:r w:rsidRPr="00BA580C">
        <w:rPr>
          <w:rFonts w:ascii="Verdana" w:hAnsi="Verdana"/>
          <w:b/>
          <w:lang w:val="en-US"/>
        </w:rPr>
        <w:t>Approved</w:t>
      </w:r>
      <w:r w:rsidR="009A543A" w:rsidRPr="00300DBC">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2C35D7">
        <w:rPr>
          <w:rFonts w:ascii="Verdana" w:hAnsi="Verdana"/>
          <w:b/>
          <w:lang w:val="en-US"/>
        </w:rPr>
        <w:t>5</w:t>
      </w:r>
      <w:r w:rsidR="00210E96" w:rsidRPr="00210E96">
        <w:rPr>
          <w:rFonts w:ascii="Verdana" w:hAnsi="Verdana"/>
          <w:b/>
          <w:vertAlign w:val="superscript"/>
          <w:lang w:val="en-US"/>
        </w:rPr>
        <w:t>th</w:t>
      </w:r>
      <w:r w:rsidR="00B722BE">
        <w:rPr>
          <w:rFonts w:ascii="Verdana" w:hAnsi="Verdana"/>
          <w:b/>
          <w:lang w:val="en-US"/>
        </w:rPr>
        <w:t xml:space="preserve"> </w:t>
      </w:r>
      <w:r w:rsidRPr="00300DBC">
        <w:rPr>
          <w:rFonts w:ascii="Verdana" w:hAnsi="Verdana"/>
          <w:b/>
          <w:lang w:val="en-US"/>
        </w:rPr>
        <w:t>meeting of</w:t>
      </w:r>
    </w:p>
    <w:p w14:paraId="43BBA35F" w14:textId="77777777"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10774171" w14:textId="1A2D6207"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2C35D7">
        <w:rPr>
          <w:rFonts w:ascii="Verdana" w:hAnsi="Verdana"/>
          <w:b/>
          <w:sz w:val="20"/>
          <w:szCs w:val="20"/>
          <w:lang w:val="en-US"/>
        </w:rPr>
        <w:t>7</w:t>
      </w:r>
      <w:r w:rsidR="007031EA" w:rsidRPr="00300DBC">
        <w:rPr>
          <w:rFonts w:ascii="Verdana" w:hAnsi="Verdana"/>
          <w:b/>
          <w:sz w:val="20"/>
          <w:szCs w:val="20"/>
          <w:lang w:val="en-US"/>
        </w:rPr>
        <w:t xml:space="preserve"> </w:t>
      </w:r>
      <w:r w:rsidR="002C35D7">
        <w:rPr>
          <w:rFonts w:ascii="Verdana" w:hAnsi="Verdana"/>
          <w:b/>
          <w:sz w:val="20"/>
          <w:szCs w:val="20"/>
          <w:lang w:val="en-US"/>
        </w:rPr>
        <w:t>June 2018</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210E96">
        <w:rPr>
          <w:rFonts w:ascii="Verdana" w:hAnsi="Verdana"/>
          <w:b/>
          <w:sz w:val="20"/>
          <w:szCs w:val="20"/>
          <w:lang w:val="en-US"/>
        </w:rPr>
        <w:t>EPC</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4A163BEE" w14:textId="77777777" w:rsidR="00AF1511" w:rsidRPr="00300DBC" w:rsidRDefault="00AF1511" w:rsidP="00347015">
      <w:pPr>
        <w:pStyle w:val="Title"/>
        <w:spacing w:before="60"/>
        <w:jc w:val="both"/>
        <w:rPr>
          <w:rFonts w:ascii="Verdana" w:hAnsi="Verdana"/>
          <w:sz w:val="20"/>
          <w:lang w:val="en-US"/>
        </w:rPr>
      </w:pPr>
    </w:p>
    <w:p w14:paraId="5205F5EC" w14:textId="77777777"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49B83E1E" w14:textId="77777777"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3C33E781" w14:textId="77777777" w:rsidR="0086435D" w:rsidRPr="00300DBC" w:rsidRDefault="0086435D" w:rsidP="00347015">
      <w:pPr>
        <w:rPr>
          <w:rFonts w:ascii="Verdana" w:hAnsi="Verdana"/>
          <w:lang w:val="en-US"/>
        </w:rPr>
      </w:pPr>
    </w:p>
    <w:p w14:paraId="2E451B34" w14:textId="77777777" w:rsidR="008A03BD" w:rsidRPr="00300DBC" w:rsidRDefault="008A03BD" w:rsidP="00347015">
      <w:pPr>
        <w:rPr>
          <w:rFonts w:ascii="Verdana" w:hAnsi="Verdana"/>
          <w:lang w:val="en-US"/>
        </w:rPr>
      </w:pPr>
    </w:p>
    <w:p w14:paraId="2C315D7A" w14:textId="1337F1A5"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w:t>
      </w:r>
      <w:r w:rsidR="005F7132">
        <w:rPr>
          <w:rFonts w:ascii="Verdana" w:hAnsi="Verdana"/>
          <w:b/>
          <w:lang w:val="en-US"/>
        </w:rPr>
        <w:t>a</w:t>
      </w:r>
      <w:r w:rsidR="0025051F" w:rsidRPr="00300DBC">
        <w:rPr>
          <w:rFonts w:ascii="Verdana" w:hAnsi="Verdana"/>
          <w:b/>
          <w:lang w:val="en-US"/>
        </w:rPr>
        <w:t>genda</w:t>
      </w:r>
      <w:r w:rsidR="005F7132">
        <w:rPr>
          <w:rFonts w:ascii="Verdana" w:hAnsi="Verdana"/>
          <w:b/>
          <w:lang w:val="en-US"/>
        </w:rPr>
        <w:t xml:space="preserve"> and approval of previous minutes</w:t>
      </w:r>
    </w:p>
    <w:p w14:paraId="7CDBE503" w14:textId="77777777" w:rsidR="003A6831" w:rsidRPr="00300DBC" w:rsidRDefault="003A6831" w:rsidP="00347015">
      <w:pPr>
        <w:rPr>
          <w:rFonts w:ascii="Verdana" w:hAnsi="Verdana"/>
          <w:b/>
          <w:lang w:val="en-US"/>
        </w:rPr>
      </w:pPr>
    </w:p>
    <w:p w14:paraId="1AEDA02C" w14:textId="2F79BBA1" w:rsidR="00004616" w:rsidRPr="005F7132" w:rsidRDefault="00004616" w:rsidP="00347015">
      <w:pPr>
        <w:rPr>
          <w:rFonts w:ascii="Verdana" w:hAnsi="Verdana"/>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7E2631">
        <w:rPr>
          <w:rFonts w:ascii="Verdana" w:hAnsi="Verdana"/>
          <w:lang w:val="en-US"/>
        </w:rPr>
        <w:t>at EPC premises in Brussels</w:t>
      </w:r>
      <w:r w:rsidR="005F7132">
        <w:rPr>
          <w:rFonts w:ascii="Verdana" w:hAnsi="Verdana"/>
          <w:b/>
          <w:lang w:val="en-US"/>
        </w:rPr>
        <w:t xml:space="preserve"> </w:t>
      </w:r>
      <w:r w:rsidR="005F7132">
        <w:rPr>
          <w:rFonts w:ascii="Verdana" w:hAnsi="Verdana"/>
          <w:lang w:val="en-US"/>
        </w:rPr>
        <w:t>and a Skype for Business session was available for the members attending remotely.</w:t>
      </w:r>
    </w:p>
    <w:p w14:paraId="03C357A3" w14:textId="77777777"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14:paraId="7805C295" w14:textId="643DF0C0" w:rsidR="00C920F3" w:rsidRDefault="00C920F3" w:rsidP="00347015">
      <w:pPr>
        <w:rPr>
          <w:rFonts w:ascii="Verdana" w:hAnsi="Verdana"/>
          <w:lang w:val="en-US"/>
        </w:rPr>
      </w:pPr>
    </w:p>
    <w:p w14:paraId="3749DD3A" w14:textId="5A1CB69E" w:rsidR="005F7132" w:rsidRDefault="005F7132" w:rsidP="00347015">
      <w:pPr>
        <w:rPr>
          <w:rFonts w:ascii="Verdana" w:hAnsi="Verdana"/>
          <w:lang w:val="en-US"/>
        </w:rPr>
      </w:pPr>
      <w:r>
        <w:rPr>
          <w:rFonts w:ascii="Verdana" w:hAnsi="Verdana"/>
          <w:lang w:val="en-US"/>
        </w:rPr>
        <w:t>The agenda was approved.</w:t>
      </w:r>
    </w:p>
    <w:p w14:paraId="1AEBBF5E" w14:textId="77777777" w:rsidR="005F7132" w:rsidRDefault="005F7132" w:rsidP="00347015">
      <w:pPr>
        <w:rPr>
          <w:rFonts w:ascii="Verdana" w:hAnsi="Verdana"/>
          <w:lang w:val="en-US"/>
        </w:rPr>
      </w:pPr>
    </w:p>
    <w:p w14:paraId="1006BB14" w14:textId="078D52D4" w:rsidR="00C920F3"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w:t>
      </w:r>
      <w:r w:rsidR="0045545F">
        <w:rPr>
          <w:rFonts w:ascii="Verdana" w:hAnsi="Verdana"/>
          <w:lang w:val="en-US"/>
        </w:rPr>
        <w:t>presented</w:t>
      </w:r>
      <w:r>
        <w:rPr>
          <w:rFonts w:ascii="Verdana" w:hAnsi="Verdana"/>
          <w:lang w:val="en-US"/>
        </w:rPr>
        <w:t xml:space="preserve"> </w:t>
      </w:r>
      <w:r w:rsidR="0045545F">
        <w:rPr>
          <w:rFonts w:ascii="Verdana" w:hAnsi="Verdana"/>
          <w:lang w:val="en-US"/>
        </w:rPr>
        <w:t xml:space="preserve">including </w:t>
      </w:r>
      <w:r w:rsidR="005F7132">
        <w:rPr>
          <w:rFonts w:ascii="Verdana" w:hAnsi="Verdana"/>
          <w:lang w:val="en-US"/>
        </w:rPr>
        <w:t>some minor</w:t>
      </w:r>
      <w:r w:rsidR="00956CA1">
        <w:rPr>
          <w:rFonts w:ascii="Verdana" w:hAnsi="Verdana"/>
          <w:lang w:val="en-US"/>
        </w:rPr>
        <w:t xml:space="preserve"> modification </w:t>
      </w:r>
      <w:r w:rsidR="008659C1">
        <w:rPr>
          <w:rFonts w:ascii="Verdana" w:hAnsi="Verdana"/>
          <w:lang w:val="en-US"/>
        </w:rPr>
        <w:t xml:space="preserve">notified by email by </w:t>
      </w:r>
      <w:r w:rsidR="005F7132">
        <w:rPr>
          <w:rFonts w:ascii="Verdana" w:hAnsi="Verdana"/>
          <w:lang w:val="en-US"/>
        </w:rPr>
        <w:t xml:space="preserve">Kari </w:t>
      </w:r>
      <w:proofErr w:type="spellStart"/>
      <w:r w:rsidR="005F7132">
        <w:rPr>
          <w:rFonts w:ascii="Verdana" w:hAnsi="Verdana"/>
          <w:lang w:val="en-US"/>
        </w:rPr>
        <w:t>Kemppainen</w:t>
      </w:r>
      <w:proofErr w:type="spellEnd"/>
      <w:r w:rsidR="005F7132">
        <w:rPr>
          <w:rFonts w:ascii="Verdana" w:hAnsi="Verdana"/>
          <w:lang w:val="en-US"/>
        </w:rPr>
        <w:t xml:space="preserve"> and </w:t>
      </w:r>
      <w:r w:rsidR="008659C1">
        <w:rPr>
          <w:rFonts w:ascii="Verdana" w:hAnsi="Verdana"/>
          <w:lang w:val="en-US"/>
        </w:rPr>
        <w:t xml:space="preserve">Jacques </w:t>
      </w:r>
      <w:proofErr w:type="spellStart"/>
      <w:r w:rsidR="008659C1">
        <w:rPr>
          <w:rFonts w:ascii="Verdana" w:hAnsi="Verdana"/>
          <w:lang w:val="en-US"/>
        </w:rPr>
        <w:t>Vanhautère</w:t>
      </w:r>
      <w:proofErr w:type="spellEnd"/>
      <w:r w:rsidR="005F7132">
        <w:rPr>
          <w:rFonts w:ascii="Verdana" w:hAnsi="Verdana"/>
          <w:lang w:val="en-US"/>
        </w:rPr>
        <w:t xml:space="preserve">. During the review of the minutes Sarah Elfstrand </w:t>
      </w:r>
      <w:r w:rsidR="00D93A33">
        <w:rPr>
          <w:rFonts w:ascii="Verdana" w:hAnsi="Verdana"/>
          <w:lang w:val="en-US"/>
        </w:rPr>
        <w:t xml:space="preserve">asked whether the new elements added in the Request-to-pay ISO messages will become mandatory. Jacques </w:t>
      </w:r>
      <w:proofErr w:type="spellStart"/>
      <w:r w:rsidR="00D93A33">
        <w:rPr>
          <w:rFonts w:ascii="Verdana" w:hAnsi="Verdana"/>
          <w:lang w:val="en-US"/>
        </w:rPr>
        <w:t>Vanhautère</w:t>
      </w:r>
      <w:proofErr w:type="spellEnd"/>
      <w:r w:rsidR="00D93A33">
        <w:rPr>
          <w:rFonts w:ascii="Verdana" w:hAnsi="Verdana"/>
          <w:lang w:val="en-US"/>
        </w:rPr>
        <w:t xml:space="preserve"> responded no and explained that all the new elements are optional and if something will be mandatory at the level of the business rules, this should be agreed and be part of the future EIPP </w:t>
      </w:r>
      <w:r w:rsidR="00747E7E">
        <w:rPr>
          <w:rFonts w:ascii="Verdana" w:hAnsi="Verdana"/>
          <w:lang w:val="en-US"/>
        </w:rPr>
        <w:t>eco-system</w:t>
      </w:r>
      <w:r w:rsidR="00D93A33">
        <w:rPr>
          <w:rFonts w:ascii="Verdana" w:hAnsi="Verdana"/>
          <w:lang w:val="en-US"/>
        </w:rPr>
        <w:t>. Other communities may choose to us</w:t>
      </w:r>
      <w:r w:rsidR="0045545F">
        <w:rPr>
          <w:rFonts w:ascii="Verdana" w:hAnsi="Verdana"/>
          <w:lang w:val="en-US"/>
        </w:rPr>
        <w:t>e</w:t>
      </w:r>
      <w:r w:rsidR="00D93A33">
        <w:rPr>
          <w:rFonts w:ascii="Verdana" w:hAnsi="Verdana"/>
          <w:lang w:val="en-US"/>
        </w:rPr>
        <w:t xml:space="preserve"> the ISO messages without updates requested for EIPP.</w:t>
      </w:r>
    </w:p>
    <w:p w14:paraId="6D43A5EF" w14:textId="3E560200" w:rsidR="008659C1" w:rsidRDefault="008659C1" w:rsidP="00347015">
      <w:pPr>
        <w:rPr>
          <w:rFonts w:ascii="Verdana" w:hAnsi="Verdana"/>
          <w:lang w:val="en-US"/>
        </w:rPr>
      </w:pPr>
    </w:p>
    <w:p w14:paraId="0497805D" w14:textId="3E1D9A48" w:rsidR="0045545F" w:rsidRDefault="0045545F" w:rsidP="00347015">
      <w:pPr>
        <w:rPr>
          <w:rFonts w:ascii="Verdana" w:hAnsi="Verdana"/>
          <w:lang w:val="en-US"/>
        </w:rPr>
      </w:pPr>
      <w:r>
        <w:rPr>
          <w:rFonts w:ascii="Verdana" w:hAnsi="Verdana"/>
          <w:lang w:val="en-US"/>
        </w:rPr>
        <w:t>The updated minutes have been approved.</w:t>
      </w:r>
    </w:p>
    <w:p w14:paraId="748509A8" w14:textId="77777777" w:rsidR="0045545F" w:rsidRDefault="0045545F" w:rsidP="00347015">
      <w:pPr>
        <w:rPr>
          <w:rFonts w:ascii="Verdana" w:hAnsi="Verdana"/>
          <w:lang w:val="en-US"/>
        </w:rPr>
      </w:pPr>
    </w:p>
    <w:p w14:paraId="3F2D1F68" w14:textId="3034DCF0" w:rsidR="005E4CA7" w:rsidRPr="00913938" w:rsidRDefault="00913938" w:rsidP="00384683">
      <w:pPr>
        <w:numPr>
          <w:ilvl w:val="0"/>
          <w:numId w:val="6"/>
        </w:numPr>
        <w:rPr>
          <w:rFonts w:ascii="Verdana" w:hAnsi="Verdana"/>
          <w:b/>
          <w:sz w:val="28"/>
          <w:szCs w:val="28"/>
          <w:lang w:val="en-US"/>
        </w:rPr>
      </w:pPr>
      <w:r>
        <w:rPr>
          <w:rFonts w:ascii="Verdana" w:hAnsi="Verdana"/>
          <w:b/>
          <w:lang w:val="en-US"/>
        </w:rPr>
        <w:t>Status of the ISO Change Requests</w:t>
      </w:r>
    </w:p>
    <w:p w14:paraId="48C55CBD" w14:textId="147399F8" w:rsidR="00913938" w:rsidRPr="00913938" w:rsidRDefault="00913938" w:rsidP="00913938">
      <w:pPr>
        <w:rPr>
          <w:rFonts w:ascii="Verdana" w:hAnsi="Verdana"/>
          <w:lang w:val="en-US"/>
        </w:rPr>
      </w:pPr>
      <w:r w:rsidRPr="00913938">
        <w:rPr>
          <w:rFonts w:ascii="Verdana" w:hAnsi="Verdana"/>
          <w:lang w:val="en-US"/>
        </w:rPr>
        <w:t>(</w:t>
      </w:r>
      <w:r w:rsidR="00095F6B">
        <w:rPr>
          <w:rFonts w:ascii="Verdana" w:hAnsi="Verdana"/>
          <w:lang w:val="en-US"/>
        </w:rPr>
        <w:t>item</w:t>
      </w:r>
      <w:r w:rsidRPr="00913938">
        <w:rPr>
          <w:rFonts w:ascii="Verdana" w:hAnsi="Verdana"/>
          <w:lang w:val="en-US"/>
        </w:rPr>
        <w:t xml:space="preserve"> not in the initial agenda)</w:t>
      </w:r>
    </w:p>
    <w:p w14:paraId="411ABD43" w14:textId="77777777" w:rsidR="008659C1" w:rsidRPr="008659C1" w:rsidRDefault="008659C1" w:rsidP="008659C1">
      <w:pPr>
        <w:ind w:left="360"/>
        <w:rPr>
          <w:rFonts w:ascii="Verdana" w:hAnsi="Verdana"/>
          <w:b/>
          <w:sz w:val="28"/>
          <w:szCs w:val="28"/>
          <w:lang w:val="en-US"/>
        </w:rPr>
      </w:pPr>
    </w:p>
    <w:p w14:paraId="3459EB30" w14:textId="06D061D2" w:rsidR="008659C1" w:rsidRDefault="0045545F"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wished to add a status on the Change Requests submitted to ISO. Valentin Vlad reported that the 2 CRs were submitted on 30 May and are now in the review process by the ISO. They were published on the ISO website in the catalogue of Change requests.</w:t>
      </w:r>
    </w:p>
    <w:p w14:paraId="03456CBD" w14:textId="407738CC" w:rsidR="0045545F" w:rsidRDefault="0045545F" w:rsidP="00B420ED">
      <w:pPr>
        <w:rPr>
          <w:rFonts w:ascii="Verdana" w:hAnsi="Verdana"/>
          <w:lang w:val="en-US"/>
        </w:rPr>
      </w:pPr>
    </w:p>
    <w:p w14:paraId="38CAB497" w14:textId="032129C6" w:rsidR="0045545F" w:rsidRPr="00BA580C" w:rsidRDefault="0045545F" w:rsidP="00B420ED">
      <w:pPr>
        <w:rPr>
          <w:rFonts w:ascii="Verdana" w:hAnsi="Verdana"/>
          <w:lang w:val="en-US"/>
        </w:rPr>
      </w:pPr>
    </w:p>
    <w:p w14:paraId="7664C190" w14:textId="2A4C31C0" w:rsidR="0045545F" w:rsidRDefault="0045545F" w:rsidP="00B420ED">
      <w:pPr>
        <w:rPr>
          <w:rFonts w:ascii="Verdana" w:hAnsi="Verdana"/>
          <w:lang w:val="en-US"/>
        </w:rPr>
      </w:pPr>
      <w:r w:rsidRPr="00BA580C">
        <w:rPr>
          <w:rFonts w:ascii="Verdana" w:hAnsi="Verdana"/>
          <w:lang w:val="en-US"/>
        </w:rPr>
        <w:t xml:space="preserve">Jacques </w:t>
      </w:r>
      <w:proofErr w:type="spellStart"/>
      <w:r w:rsidRPr="00BA580C">
        <w:rPr>
          <w:rFonts w:ascii="Verdana" w:hAnsi="Verdana"/>
          <w:lang w:val="en-US"/>
        </w:rPr>
        <w:t>Vanhautère</w:t>
      </w:r>
      <w:proofErr w:type="spellEnd"/>
      <w:r w:rsidRPr="00BA580C">
        <w:rPr>
          <w:rFonts w:ascii="Verdana" w:hAnsi="Verdana"/>
          <w:lang w:val="en-US"/>
        </w:rPr>
        <w:t xml:space="preserve"> proposed the members of the Group to contact the ISO </w:t>
      </w:r>
      <w:proofErr w:type="spellStart"/>
      <w:r w:rsidRPr="00BA580C">
        <w:rPr>
          <w:rFonts w:ascii="Verdana" w:hAnsi="Verdana"/>
          <w:lang w:val="en-US"/>
        </w:rPr>
        <w:t>PaymentSEG</w:t>
      </w:r>
      <w:proofErr w:type="spellEnd"/>
      <w:r w:rsidRPr="00BA580C">
        <w:rPr>
          <w:rFonts w:ascii="Verdana" w:hAnsi="Verdana"/>
          <w:lang w:val="en-US"/>
        </w:rPr>
        <w:t xml:space="preserve"> members to explain and </w:t>
      </w:r>
      <w:r w:rsidR="00747E7E">
        <w:rPr>
          <w:rFonts w:ascii="Verdana" w:hAnsi="Verdana"/>
          <w:lang w:val="en-US"/>
        </w:rPr>
        <w:t>give details about the context and background of</w:t>
      </w:r>
      <w:r w:rsidRPr="00BA580C">
        <w:rPr>
          <w:rFonts w:ascii="Verdana" w:hAnsi="Verdana"/>
          <w:lang w:val="en-US"/>
        </w:rPr>
        <w:t xml:space="preserve"> the CRs.</w:t>
      </w:r>
    </w:p>
    <w:p w14:paraId="27FBDA01" w14:textId="3E3B1EAB" w:rsidR="0045545F" w:rsidRDefault="0045545F" w:rsidP="00B420ED">
      <w:pPr>
        <w:rPr>
          <w:rFonts w:ascii="Verdana" w:hAnsi="Verdana"/>
          <w:lang w:val="en-US"/>
        </w:rPr>
      </w:pPr>
      <w:r>
        <w:rPr>
          <w:rFonts w:ascii="Verdana" w:hAnsi="Verdana"/>
          <w:lang w:val="en-US"/>
        </w:rPr>
        <w:lastRenderedPageBreak/>
        <w:t>He asked Dominique Forceville to remind the ISO review schedule. Dominique Forceville</w:t>
      </w:r>
      <w:r w:rsidR="005E37E5">
        <w:rPr>
          <w:rFonts w:ascii="Verdana" w:hAnsi="Verdana"/>
          <w:lang w:val="en-US"/>
        </w:rPr>
        <w:t xml:space="preserve"> reminded the 7 July is the ISO deadline for reviewing the CRs which can be accepted, rejected or which require clarification. There will be a meeting of the Payment SEG on 2 July when the 2 CRs might by included. The next milestone is 1 October when there will be a final decision on which CRs are approved and enter in development.</w:t>
      </w:r>
    </w:p>
    <w:p w14:paraId="7D146EA5" w14:textId="0B5F620C" w:rsidR="005E37E5" w:rsidRDefault="005E37E5" w:rsidP="00B420ED">
      <w:pPr>
        <w:rPr>
          <w:rFonts w:ascii="Verdana" w:hAnsi="Verdana"/>
          <w:lang w:val="en-US"/>
        </w:rPr>
      </w:pPr>
      <w:r>
        <w:rPr>
          <w:rFonts w:ascii="Verdana" w:hAnsi="Verdana"/>
          <w:lang w:val="en-US"/>
        </w:rPr>
        <w:t xml:space="preserve">Currently there are many CRs to review and the </w:t>
      </w:r>
      <w:proofErr w:type="spellStart"/>
      <w:r>
        <w:rPr>
          <w:rFonts w:ascii="Verdana" w:hAnsi="Verdana"/>
          <w:lang w:val="en-US"/>
        </w:rPr>
        <w:t>PaySEG</w:t>
      </w:r>
      <w:proofErr w:type="spellEnd"/>
      <w:r>
        <w:rPr>
          <w:rFonts w:ascii="Verdana" w:hAnsi="Verdana"/>
          <w:lang w:val="en-US"/>
        </w:rPr>
        <w:t xml:space="preserve"> vice-chair is thinking to </w:t>
      </w:r>
      <w:proofErr w:type="spellStart"/>
      <w:r>
        <w:rPr>
          <w:rFonts w:ascii="Verdana" w:hAnsi="Verdana"/>
          <w:lang w:val="en-US"/>
        </w:rPr>
        <w:t>prioritise</w:t>
      </w:r>
      <w:proofErr w:type="spellEnd"/>
      <w:r>
        <w:rPr>
          <w:rFonts w:ascii="Verdana" w:hAnsi="Verdana"/>
          <w:lang w:val="en-US"/>
        </w:rPr>
        <w:t xml:space="preserve"> them and to setup an additional meeting on 25 June. Dominique Forceville informed the Group that he required the 2 CRs to be </w:t>
      </w:r>
      <w:proofErr w:type="spellStart"/>
      <w:r>
        <w:rPr>
          <w:rFonts w:ascii="Verdana" w:hAnsi="Verdana"/>
          <w:lang w:val="en-US"/>
        </w:rPr>
        <w:t>prioritised</w:t>
      </w:r>
      <w:proofErr w:type="spellEnd"/>
      <w:r>
        <w:rPr>
          <w:rFonts w:ascii="Verdana" w:hAnsi="Verdana"/>
          <w:lang w:val="en-US"/>
        </w:rPr>
        <w:t xml:space="preserve"> and discussed in the meeting of 2 July or even before.</w:t>
      </w:r>
    </w:p>
    <w:p w14:paraId="65410BAC" w14:textId="0B69B0DC" w:rsidR="005E37E5" w:rsidRDefault="005E37E5" w:rsidP="00B420ED">
      <w:pPr>
        <w:rPr>
          <w:rFonts w:ascii="Verdana" w:hAnsi="Verdana"/>
          <w:lang w:val="en-US"/>
        </w:rPr>
      </w:pPr>
    </w:p>
    <w:p w14:paraId="70B2A68F" w14:textId="7009B24D" w:rsidR="005E37E5" w:rsidRDefault="005E37E5" w:rsidP="00B420ED">
      <w:pPr>
        <w:rPr>
          <w:rFonts w:ascii="Verdana" w:hAnsi="Verdana"/>
          <w:lang w:val="en-US"/>
        </w:rPr>
      </w:pPr>
      <w:r w:rsidRPr="00BA580C">
        <w:rPr>
          <w:rFonts w:ascii="Verdana" w:hAnsi="Verdana"/>
          <w:lang w:val="en-US"/>
        </w:rPr>
        <w:t xml:space="preserve">Pirjo Ilola informed the Group that she already had a call with the </w:t>
      </w:r>
      <w:proofErr w:type="spellStart"/>
      <w:r w:rsidRPr="00BA580C">
        <w:rPr>
          <w:rFonts w:ascii="Verdana" w:hAnsi="Verdana"/>
          <w:lang w:val="en-US"/>
        </w:rPr>
        <w:t>PaySEG</w:t>
      </w:r>
      <w:proofErr w:type="spellEnd"/>
      <w:r w:rsidRPr="00BA580C">
        <w:rPr>
          <w:rFonts w:ascii="Verdana" w:hAnsi="Verdana"/>
          <w:lang w:val="en-US"/>
        </w:rPr>
        <w:t xml:space="preserve"> vice-chair and another member of the EIPP EPC mirroring task-force, also member of the </w:t>
      </w:r>
      <w:proofErr w:type="spellStart"/>
      <w:r w:rsidRPr="00BA580C">
        <w:rPr>
          <w:rFonts w:ascii="Verdana" w:hAnsi="Verdana"/>
          <w:lang w:val="en-US"/>
        </w:rPr>
        <w:t>PaySEG</w:t>
      </w:r>
      <w:proofErr w:type="spellEnd"/>
      <w:r w:rsidR="00747E7E" w:rsidRPr="00BA580C">
        <w:rPr>
          <w:rFonts w:ascii="Verdana" w:hAnsi="Verdana"/>
          <w:lang w:val="en-US"/>
        </w:rPr>
        <w:t>,</w:t>
      </w:r>
      <w:r w:rsidRPr="00BA580C">
        <w:rPr>
          <w:rFonts w:ascii="Verdana" w:hAnsi="Verdana"/>
          <w:lang w:val="en-US"/>
        </w:rPr>
        <w:t xml:space="preserve"> gave his input on the CRs.</w:t>
      </w:r>
    </w:p>
    <w:p w14:paraId="576107DB" w14:textId="77777777" w:rsidR="0045545F" w:rsidRDefault="0045545F" w:rsidP="00B420ED">
      <w:pPr>
        <w:rPr>
          <w:rFonts w:ascii="Verdana" w:hAnsi="Verdana"/>
          <w:lang w:val="en-US"/>
        </w:rPr>
      </w:pPr>
    </w:p>
    <w:p w14:paraId="41CAAC27" w14:textId="1A19A74C" w:rsidR="0045545F" w:rsidRDefault="005E37E5"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asked if members of the Group other than Valentin Vlad (submitter) are allowed to attend the </w:t>
      </w:r>
      <w:proofErr w:type="spellStart"/>
      <w:r>
        <w:rPr>
          <w:rFonts w:ascii="Verdana" w:hAnsi="Verdana"/>
          <w:lang w:val="en-US"/>
        </w:rPr>
        <w:t>PaySEG</w:t>
      </w:r>
      <w:proofErr w:type="spellEnd"/>
      <w:r>
        <w:rPr>
          <w:rFonts w:ascii="Verdana" w:hAnsi="Verdana"/>
          <w:lang w:val="en-US"/>
        </w:rPr>
        <w:t xml:space="preserve"> online meeting where the CRs will be reviewed. Dominique Forceville will check with the SWIFT Registration Authority.</w:t>
      </w:r>
    </w:p>
    <w:p w14:paraId="6533D6C3" w14:textId="10C2F3F9" w:rsidR="005E37E5" w:rsidRDefault="005E37E5" w:rsidP="00B420ED">
      <w:pPr>
        <w:rPr>
          <w:rFonts w:ascii="Verdana" w:hAnsi="Verdana"/>
          <w:lang w:val="en-US"/>
        </w:rPr>
      </w:pPr>
    </w:p>
    <w:p w14:paraId="221657F9" w14:textId="75892426" w:rsidR="005E37E5" w:rsidRDefault="005E37E5" w:rsidP="00B420ED">
      <w:pPr>
        <w:rPr>
          <w:rFonts w:ascii="Verdana" w:hAnsi="Verdana"/>
          <w:lang w:val="en-US"/>
        </w:rPr>
      </w:pPr>
      <w:r w:rsidRPr="00BA580C">
        <w:rPr>
          <w:rFonts w:ascii="Verdana" w:hAnsi="Verdana"/>
          <w:lang w:val="en-US"/>
        </w:rPr>
        <w:t xml:space="preserve">Massimo </w:t>
      </w:r>
      <w:proofErr w:type="spellStart"/>
      <w:r w:rsidRPr="00BA580C">
        <w:rPr>
          <w:rFonts w:ascii="Verdana" w:hAnsi="Verdana"/>
          <w:lang w:val="en-US"/>
        </w:rPr>
        <w:t>Battistella</w:t>
      </w:r>
      <w:proofErr w:type="spellEnd"/>
      <w:r w:rsidRPr="00BA580C">
        <w:rPr>
          <w:rFonts w:ascii="Verdana" w:hAnsi="Verdana"/>
          <w:lang w:val="en-US"/>
        </w:rPr>
        <w:t xml:space="preserve"> informed the Group that he already contacted CBI </w:t>
      </w:r>
      <w:proofErr w:type="spellStart"/>
      <w:r w:rsidRPr="00BA580C">
        <w:rPr>
          <w:rFonts w:ascii="Verdana" w:hAnsi="Verdana"/>
          <w:lang w:val="en-US"/>
        </w:rPr>
        <w:t>Consorzio</w:t>
      </w:r>
      <w:proofErr w:type="spellEnd"/>
      <w:r w:rsidRPr="00BA580C">
        <w:rPr>
          <w:rFonts w:ascii="Verdana" w:hAnsi="Verdana"/>
          <w:lang w:val="en-US"/>
        </w:rPr>
        <w:t xml:space="preserve"> (initial submitter of the pain.013/014 messages) and </w:t>
      </w:r>
      <w:r w:rsidR="004C6A9E" w:rsidRPr="00BA580C">
        <w:rPr>
          <w:rFonts w:ascii="Verdana" w:hAnsi="Verdana"/>
          <w:lang w:val="en-US"/>
        </w:rPr>
        <w:t>presented the scope of the CRs.</w:t>
      </w:r>
    </w:p>
    <w:p w14:paraId="19986F95" w14:textId="6A526FC9" w:rsidR="005E37E5" w:rsidRDefault="004C6A9E" w:rsidP="00B420ED">
      <w:pPr>
        <w:rPr>
          <w:rFonts w:ascii="Verdana" w:hAnsi="Verdana"/>
          <w:lang w:val="en-US"/>
        </w:rPr>
      </w:pPr>
      <w:r>
        <w:rPr>
          <w:rFonts w:ascii="Verdana" w:hAnsi="Verdana"/>
          <w:lang w:val="en-US"/>
        </w:rPr>
        <w:t xml:space="preserve">He had the opinion that as the CRs were submitted by the EPC, it should be EPC to decide who will attend the ISO online meeting. </w:t>
      </w:r>
      <w:r w:rsidR="00747E7E">
        <w:rPr>
          <w:rFonts w:ascii="Verdana" w:hAnsi="Verdana"/>
          <w:lang w:val="en-US"/>
        </w:rPr>
        <w:t xml:space="preserve">The </w:t>
      </w:r>
      <w:r>
        <w:rPr>
          <w:rFonts w:ascii="Verdana" w:hAnsi="Verdana"/>
          <w:lang w:val="en-US"/>
        </w:rPr>
        <w:t xml:space="preserve">Group agreed that the EPC will </w:t>
      </w:r>
      <w:proofErr w:type="spellStart"/>
      <w:r>
        <w:rPr>
          <w:rFonts w:ascii="Verdana" w:hAnsi="Verdana"/>
          <w:lang w:val="en-US"/>
        </w:rPr>
        <w:t>organise</w:t>
      </w:r>
      <w:proofErr w:type="spellEnd"/>
      <w:r>
        <w:rPr>
          <w:rFonts w:ascii="Verdana" w:hAnsi="Verdana"/>
          <w:lang w:val="en-US"/>
        </w:rPr>
        <w:t xml:space="preserve"> internally who will attend the meeting together with Valentin Vlad. </w:t>
      </w:r>
    </w:p>
    <w:p w14:paraId="75E4C36C" w14:textId="6429ED42" w:rsidR="00A2687E" w:rsidRDefault="00A2687E" w:rsidP="00B420ED">
      <w:pPr>
        <w:rPr>
          <w:rFonts w:ascii="Verdana" w:hAnsi="Verdana"/>
          <w:lang w:val="en-US"/>
        </w:rPr>
      </w:pPr>
    </w:p>
    <w:p w14:paraId="377FF3E3" w14:textId="076DA34E" w:rsidR="00A2687E" w:rsidRDefault="00A2687E" w:rsidP="00B420ED">
      <w:pPr>
        <w:rPr>
          <w:rFonts w:ascii="Verdana" w:hAnsi="Verdana"/>
          <w:lang w:val="en-US"/>
        </w:rPr>
      </w:pPr>
      <w:r>
        <w:rPr>
          <w:rFonts w:ascii="Verdana" w:hAnsi="Verdana"/>
          <w:lang w:val="en-US"/>
        </w:rPr>
        <w:t xml:space="preserve">Valentin Vlad informed the Group about his call with a representative from NACHA (US) which are governing a service based on RTPs and are deploying it in the USA. He </w:t>
      </w:r>
      <w:r w:rsidR="00095F6B">
        <w:rPr>
          <w:rFonts w:ascii="Verdana" w:hAnsi="Verdana"/>
          <w:lang w:val="en-US"/>
        </w:rPr>
        <w:t>noticed that NACHA haven’t submitted any CRs to ISO. Dominique Forceville briefly informed about other submitted CRs having pain.013/014 in scope.</w:t>
      </w:r>
    </w:p>
    <w:p w14:paraId="141EA0E2" w14:textId="760EC4C2" w:rsidR="00095F6B" w:rsidRDefault="00095F6B" w:rsidP="00B420ED">
      <w:pPr>
        <w:rPr>
          <w:rFonts w:ascii="Verdana" w:hAnsi="Verdana"/>
          <w:lang w:val="en-US"/>
        </w:rPr>
      </w:pPr>
    </w:p>
    <w:p w14:paraId="225042BE" w14:textId="7D2B0BFD" w:rsidR="004C6A9E" w:rsidRPr="00095F6B" w:rsidRDefault="00095F6B" w:rsidP="00095F6B">
      <w:pPr>
        <w:pStyle w:val="ListParagraph"/>
        <w:numPr>
          <w:ilvl w:val="0"/>
          <w:numId w:val="6"/>
        </w:numPr>
        <w:rPr>
          <w:rFonts w:ascii="Verdana" w:hAnsi="Verdana"/>
          <w:b/>
          <w:sz w:val="24"/>
          <w:szCs w:val="24"/>
          <w:lang w:val="en-US"/>
        </w:rPr>
      </w:pPr>
      <w:r w:rsidRPr="00095F6B">
        <w:rPr>
          <w:rFonts w:ascii="Verdana" w:hAnsi="Verdana"/>
          <w:b/>
          <w:sz w:val="24"/>
          <w:szCs w:val="24"/>
          <w:lang w:val="en-US"/>
        </w:rPr>
        <w:t>Review of the proposal for servicing messages</w:t>
      </w:r>
    </w:p>
    <w:p w14:paraId="1993C2ED" w14:textId="77777777" w:rsidR="004C6A9E" w:rsidRDefault="004C6A9E" w:rsidP="00B420ED">
      <w:pPr>
        <w:rPr>
          <w:rFonts w:ascii="Verdana" w:hAnsi="Verdana"/>
          <w:lang w:val="en-US"/>
        </w:rPr>
      </w:pPr>
    </w:p>
    <w:p w14:paraId="55BE2445" w14:textId="22AC6848" w:rsidR="00095F6B" w:rsidRDefault="00375736" w:rsidP="00B420ED">
      <w:pPr>
        <w:rPr>
          <w:rFonts w:ascii="Verdana" w:hAnsi="Verdana"/>
          <w:lang w:val="en-US"/>
        </w:rPr>
      </w:pPr>
      <w:r w:rsidRPr="00375736">
        <w:rPr>
          <w:rFonts w:ascii="Verdana" w:hAnsi="Verdana"/>
          <w:lang w:val="en-US"/>
        </w:rPr>
        <w:t>The document</w:t>
      </w:r>
      <w:r w:rsidR="00095F6B">
        <w:rPr>
          <w:rFonts w:ascii="Verdana" w:hAnsi="Verdana"/>
          <w:lang w:val="en-US"/>
        </w:rPr>
        <w:t xml:space="preserve"> “</w:t>
      </w:r>
      <w:r w:rsidR="00095F6B" w:rsidRPr="00095F6B">
        <w:rPr>
          <w:rFonts w:ascii="Verdana" w:hAnsi="Verdana"/>
          <w:lang w:val="en-US"/>
        </w:rPr>
        <w:t>EIPP Servicing message flows v0</w:t>
      </w:r>
      <w:r w:rsidR="002F290C">
        <w:rPr>
          <w:rFonts w:ascii="Verdana" w:hAnsi="Verdana"/>
          <w:lang w:val="en-US"/>
        </w:rPr>
        <w:t>2</w:t>
      </w:r>
      <w:r w:rsidR="00095F6B">
        <w:rPr>
          <w:rFonts w:ascii="Verdana" w:hAnsi="Verdana"/>
          <w:lang w:val="en-US"/>
        </w:rPr>
        <w:t xml:space="preserve">.pptx” </w:t>
      </w:r>
      <w:r>
        <w:rPr>
          <w:rFonts w:ascii="Verdana" w:hAnsi="Verdana"/>
          <w:lang w:val="en-US"/>
        </w:rPr>
        <w:t xml:space="preserve">was </w:t>
      </w:r>
      <w:r w:rsidR="00095F6B">
        <w:rPr>
          <w:rFonts w:ascii="Verdana" w:hAnsi="Verdana"/>
          <w:lang w:val="en-US"/>
        </w:rPr>
        <w:t>displayed and Pirjo Ilola started to present it.</w:t>
      </w:r>
    </w:p>
    <w:p w14:paraId="7135D9FD" w14:textId="77777777" w:rsidR="00095F6B" w:rsidRDefault="00095F6B" w:rsidP="00B420ED">
      <w:pPr>
        <w:rPr>
          <w:rFonts w:ascii="Verdana" w:hAnsi="Verdana"/>
          <w:lang w:val="en-US"/>
        </w:rPr>
      </w:pPr>
    </w:p>
    <w:p w14:paraId="1DCD49D9" w14:textId="77777777" w:rsidR="00095F6B" w:rsidRDefault="00095F6B" w:rsidP="00B420ED">
      <w:pPr>
        <w:rPr>
          <w:rFonts w:ascii="Verdana" w:hAnsi="Verdana"/>
          <w:lang w:val="en-US"/>
        </w:rPr>
      </w:pPr>
      <w:r>
        <w:rPr>
          <w:rFonts w:ascii="Verdana" w:hAnsi="Verdana"/>
          <w:lang w:val="en-US"/>
        </w:rPr>
        <w:t>Regarding the “EIPP provider enrolment” aspect it has been agreed that it is not in the scope of servicing messages. It is similar with SEPA schemes agreement involving more actions than a single servicing message.</w:t>
      </w:r>
    </w:p>
    <w:p w14:paraId="1DBB27EF" w14:textId="77777777" w:rsidR="00095F6B" w:rsidRDefault="00095F6B" w:rsidP="00B420ED">
      <w:pPr>
        <w:rPr>
          <w:rFonts w:ascii="Verdana" w:hAnsi="Verdana"/>
          <w:lang w:val="en-US"/>
        </w:rPr>
      </w:pPr>
    </w:p>
    <w:p w14:paraId="45B83A6C" w14:textId="48C7B122" w:rsidR="00375736" w:rsidRDefault="00095F6B" w:rsidP="00B420ED">
      <w:pPr>
        <w:rPr>
          <w:rFonts w:ascii="Verdana" w:hAnsi="Verdana"/>
          <w:lang w:val="en-US"/>
        </w:rPr>
      </w:pPr>
      <w:r>
        <w:rPr>
          <w:rFonts w:ascii="Verdana" w:hAnsi="Verdana"/>
          <w:lang w:val="en-US"/>
        </w:rPr>
        <w:t>For the Payee enrolment a question was raised on the need of a “broadcast” type of message, meaning all PSPs in the network are informed about all enrolled Payees.</w:t>
      </w:r>
    </w:p>
    <w:p w14:paraId="2FE33886" w14:textId="5E7F35F0" w:rsidR="00095F6B" w:rsidRDefault="00095F6B" w:rsidP="00B420ED">
      <w:pPr>
        <w:rPr>
          <w:rFonts w:ascii="Verdana" w:hAnsi="Verdana"/>
        </w:rPr>
      </w:pPr>
      <w:r w:rsidRPr="00095F6B">
        <w:rPr>
          <w:rFonts w:ascii="Verdana" w:hAnsi="Verdana"/>
        </w:rPr>
        <w:t xml:space="preserve">Jacques </w:t>
      </w:r>
      <w:proofErr w:type="spellStart"/>
      <w:r w:rsidRPr="00095F6B">
        <w:rPr>
          <w:rFonts w:ascii="Verdana" w:hAnsi="Verdana"/>
        </w:rPr>
        <w:t>Vanhautère</w:t>
      </w:r>
      <w:proofErr w:type="spellEnd"/>
      <w:r w:rsidRPr="00095F6B">
        <w:rPr>
          <w:rFonts w:ascii="Verdana" w:hAnsi="Verdana"/>
        </w:rPr>
        <w:t xml:space="preserve"> pointed out that th</w:t>
      </w:r>
      <w:r>
        <w:rPr>
          <w:rFonts w:ascii="Verdana" w:hAnsi="Verdana"/>
        </w:rPr>
        <w:t xml:space="preserve">is is related to the repository model. It can be a based on a central repository or a different model. At this stage it is important to focus on how practical and interoperable </w:t>
      </w:r>
      <w:r w:rsidR="00453813">
        <w:rPr>
          <w:rFonts w:ascii="Verdana" w:hAnsi="Verdana"/>
        </w:rPr>
        <w:t>the models are</w:t>
      </w:r>
      <w:r>
        <w:rPr>
          <w:rFonts w:ascii="Verdana" w:hAnsi="Verdana"/>
        </w:rPr>
        <w:t>.</w:t>
      </w:r>
    </w:p>
    <w:p w14:paraId="59A21A3B" w14:textId="3AD51EA1" w:rsidR="00095F6B" w:rsidRDefault="00095F6B" w:rsidP="00B420ED">
      <w:pPr>
        <w:rPr>
          <w:rFonts w:ascii="Verdana" w:hAnsi="Verdana"/>
        </w:rPr>
      </w:pPr>
    </w:p>
    <w:p w14:paraId="1D04CE1F" w14:textId="26C263D6" w:rsidR="00095F6B" w:rsidRPr="00095F6B" w:rsidRDefault="00095F6B" w:rsidP="00B420ED">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proposed to </w:t>
      </w:r>
      <w:r w:rsidR="00453813">
        <w:rPr>
          <w:rFonts w:ascii="Verdana" w:hAnsi="Verdana"/>
        </w:rPr>
        <w:t xml:space="preserve">keep the focus on “servicing messages” without entering into the topic of how these will be used, for example not detailing the type of identity of actors. Further on, we can deal with these aspects too in the context of allowing the interoperability. He proposed </w:t>
      </w:r>
      <w:r w:rsidR="002F7139">
        <w:rPr>
          <w:rFonts w:ascii="Verdana" w:hAnsi="Verdana"/>
        </w:rPr>
        <w:t xml:space="preserve">to </w:t>
      </w:r>
      <w:r w:rsidR="00453813">
        <w:rPr>
          <w:rFonts w:ascii="Verdana" w:hAnsi="Verdana"/>
        </w:rPr>
        <w:t>organise the current focus in 3 steps: 1. What are the servicing messages already used 2. Identify additional elements that could be useful and 3. Propose common elements of servicing messages.</w:t>
      </w:r>
    </w:p>
    <w:p w14:paraId="47A609FD" w14:textId="77777777" w:rsidR="00375736" w:rsidRPr="00095F6B" w:rsidRDefault="00375736" w:rsidP="00B420ED">
      <w:pPr>
        <w:rPr>
          <w:rFonts w:ascii="Verdana" w:hAnsi="Verdana"/>
        </w:rPr>
      </w:pPr>
    </w:p>
    <w:p w14:paraId="47DA170F" w14:textId="0E193F9D" w:rsidR="008659C1" w:rsidRDefault="00453813" w:rsidP="00B420ED">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highlighted the need to propose best practices about using the servicing messages, starting with identifying the existing practices. He supports Massimo </w:t>
      </w:r>
      <w:proofErr w:type="spellStart"/>
      <w:r>
        <w:rPr>
          <w:rFonts w:ascii="Verdana" w:hAnsi="Verdana"/>
          <w:lang w:val="en-US"/>
        </w:rPr>
        <w:t>Battistella</w:t>
      </w:r>
      <w:proofErr w:type="spellEnd"/>
      <w:r>
        <w:rPr>
          <w:rFonts w:ascii="Verdana" w:hAnsi="Verdana"/>
          <w:lang w:val="en-US"/>
        </w:rPr>
        <w:t xml:space="preserve"> to focus on messages at this stage.</w:t>
      </w:r>
    </w:p>
    <w:p w14:paraId="79AA1CD5" w14:textId="0E211D6E" w:rsidR="00453813" w:rsidRDefault="00453813" w:rsidP="00B420ED">
      <w:pPr>
        <w:rPr>
          <w:rFonts w:ascii="Verdana" w:hAnsi="Verdana"/>
          <w:lang w:val="en-US"/>
        </w:rPr>
      </w:pPr>
    </w:p>
    <w:p w14:paraId="2772B6CA" w14:textId="162F5ADC" w:rsidR="00453813" w:rsidRDefault="00453813"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asked if the goal is to propose new ISO messages. </w:t>
      </w:r>
      <w:r w:rsidR="009D4AC0">
        <w:rPr>
          <w:rFonts w:ascii="Verdana" w:hAnsi="Verdana"/>
          <w:lang w:val="en-US"/>
        </w:rPr>
        <w:t xml:space="preserve">Rainer </w:t>
      </w:r>
      <w:proofErr w:type="spellStart"/>
      <w:r w:rsidR="009D4AC0">
        <w:rPr>
          <w:rFonts w:ascii="Verdana" w:hAnsi="Verdana"/>
          <w:lang w:val="en-US"/>
        </w:rPr>
        <w:t>Olt</w:t>
      </w:r>
      <w:r w:rsidR="00893C9A">
        <w:rPr>
          <w:rFonts w:ascii="Verdana" w:hAnsi="Verdana"/>
          <w:lang w:val="en-US"/>
        </w:rPr>
        <w:t>’s</w:t>
      </w:r>
      <w:proofErr w:type="spellEnd"/>
      <w:r w:rsidR="009D4AC0">
        <w:rPr>
          <w:rFonts w:ascii="Verdana" w:hAnsi="Verdana"/>
          <w:lang w:val="en-US"/>
        </w:rPr>
        <w:t xml:space="preserve"> </w:t>
      </w:r>
      <w:r w:rsidR="00E73ACF">
        <w:rPr>
          <w:rFonts w:ascii="Verdana" w:hAnsi="Verdana"/>
          <w:lang w:val="en-US"/>
        </w:rPr>
        <w:t xml:space="preserve">opinion was that now we need to </w:t>
      </w:r>
      <w:proofErr w:type="spellStart"/>
      <w:r w:rsidR="00E73ACF">
        <w:rPr>
          <w:rFonts w:ascii="Verdana" w:hAnsi="Verdana"/>
          <w:lang w:val="en-US"/>
        </w:rPr>
        <w:t>harmonise</w:t>
      </w:r>
      <w:proofErr w:type="spellEnd"/>
      <w:r w:rsidR="00E73ACF">
        <w:rPr>
          <w:rFonts w:ascii="Verdana" w:hAnsi="Verdana"/>
          <w:lang w:val="en-US"/>
        </w:rPr>
        <w:t xml:space="preserve"> the messages to find a “common denominator” and later we can deal with the standards. </w:t>
      </w:r>
    </w:p>
    <w:p w14:paraId="6D18BE3A" w14:textId="69469674" w:rsidR="00E73ACF" w:rsidRDefault="00E73ACF" w:rsidP="00B420ED">
      <w:pPr>
        <w:rPr>
          <w:rFonts w:ascii="Verdana" w:hAnsi="Verdana"/>
          <w:lang w:val="en-US"/>
        </w:rPr>
      </w:pPr>
    </w:p>
    <w:p w14:paraId="5406C2D2" w14:textId="14D4F212" w:rsidR="00E73ACF" w:rsidRDefault="00E73ACF" w:rsidP="00B420ED">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reminded the previous 3 steps and added that we also need to evaluate how the outcome will be followed-up, by defining a standard or in a different way.</w:t>
      </w:r>
    </w:p>
    <w:p w14:paraId="485756FC" w14:textId="59B0CF19" w:rsidR="00E73ACF" w:rsidRDefault="00E73ACF" w:rsidP="00B420ED">
      <w:pPr>
        <w:rPr>
          <w:rFonts w:ascii="Verdana" w:hAnsi="Verdana"/>
          <w:lang w:val="en-US"/>
        </w:rPr>
      </w:pPr>
    </w:p>
    <w:p w14:paraId="6F05CBD8" w14:textId="6AE9567E" w:rsidR="00E73ACF" w:rsidRDefault="00E73ACF" w:rsidP="00B420ED">
      <w:pPr>
        <w:rPr>
          <w:rFonts w:ascii="Verdana" w:hAnsi="Verdana"/>
        </w:rPr>
      </w:pPr>
      <w:r w:rsidRPr="00E73ACF">
        <w:rPr>
          <w:rFonts w:ascii="Verdana" w:hAnsi="Verdana"/>
        </w:rPr>
        <w:t xml:space="preserve">Jacques </w:t>
      </w:r>
      <w:proofErr w:type="spellStart"/>
      <w:r w:rsidRPr="00E73ACF">
        <w:rPr>
          <w:rFonts w:ascii="Verdana" w:hAnsi="Verdana"/>
        </w:rPr>
        <w:t>Vanhautère</w:t>
      </w:r>
      <w:proofErr w:type="spellEnd"/>
      <w:r w:rsidRPr="00E73ACF">
        <w:rPr>
          <w:rFonts w:ascii="Verdana" w:hAnsi="Verdana"/>
        </w:rPr>
        <w:t xml:space="preserve"> pointed out the nee</w:t>
      </w:r>
      <w:r>
        <w:rPr>
          <w:rFonts w:ascii="Verdana" w:hAnsi="Verdana"/>
        </w:rPr>
        <w:t xml:space="preserve">d for inclusion of how the participants will be allowed in the system, how the trust will be achieved. Pascal </w:t>
      </w:r>
      <w:proofErr w:type="spellStart"/>
      <w:r>
        <w:rPr>
          <w:rFonts w:ascii="Verdana" w:hAnsi="Verdana"/>
        </w:rPr>
        <w:t>Spittler</w:t>
      </w:r>
      <w:proofErr w:type="spellEnd"/>
      <w:r>
        <w:rPr>
          <w:rFonts w:ascii="Verdana" w:hAnsi="Verdana"/>
        </w:rPr>
        <w:t xml:space="preserve"> agreed and gave the example of directories of PSP in the context of PSD2 (BIC directories)</w:t>
      </w:r>
    </w:p>
    <w:p w14:paraId="14A80228" w14:textId="0C677F0B" w:rsidR="00581AEF" w:rsidRDefault="00581AEF" w:rsidP="00B420ED">
      <w:pPr>
        <w:rPr>
          <w:rFonts w:ascii="Verdana" w:hAnsi="Verdana"/>
        </w:rPr>
      </w:pPr>
    </w:p>
    <w:p w14:paraId="7981798C" w14:textId="66CAD260" w:rsidR="00581AEF" w:rsidRPr="00E73ACF" w:rsidRDefault="00581AEF" w:rsidP="00B420ED">
      <w:pPr>
        <w:rPr>
          <w:rFonts w:ascii="Verdana" w:hAnsi="Verdana"/>
        </w:rPr>
      </w:pPr>
      <w:r>
        <w:rPr>
          <w:rFonts w:ascii="Verdana" w:hAnsi="Verdana"/>
        </w:rPr>
        <w:t xml:space="preserve">Pirjo Ilola came back to the flows diagram. </w:t>
      </w:r>
    </w:p>
    <w:p w14:paraId="14B386B9" w14:textId="77777777" w:rsidR="000E6172" w:rsidRPr="00E73ACF" w:rsidRDefault="000E6172" w:rsidP="00B420ED">
      <w:pPr>
        <w:rPr>
          <w:rFonts w:ascii="Verdana" w:hAnsi="Verdana"/>
        </w:rPr>
      </w:pPr>
    </w:p>
    <w:p w14:paraId="54B402AB" w14:textId="33418DFD" w:rsidR="00C612C9" w:rsidRDefault="0096107C" w:rsidP="00C612C9">
      <w:pPr>
        <w:rPr>
          <w:rFonts w:ascii="Verdana" w:hAnsi="Verdana"/>
        </w:rPr>
      </w:pPr>
      <w:r>
        <w:rPr>
          <w:rFonts w:ascii="Verdana" w:hAnsi="Verdana"/>
        </w:rPr>
        <w:t>The following remarks were raised on the flows diagram:</w:t>
      </w:r>
    </w:p>
    <w:p w14:paraId="74F0E2F9" w14:textId="77976328" w:rsidR="0096107C" w:rsidRDefault="002F7139" w:rsidP="0096107C">
      <w:pPr>
        <w:pStyle w:val="ListParagraph"/>
        <w:numPr>
          <w:ilvl w:val="0"/>
          <w:numId w:val="22"/>
        </w:numPr>
        <w:rPr>
          <w:rFonts w:ascii="Verdana" w:hAnsi="Verdana"/>
        </w:rPr>
      </w:pPr>
      <w:r>
        <w:rPr>
          <w:rFonts w:ascii="Verdana" w:hAnsi="Verdana"/>
          <w:lang w:val="en-GB"/>
        </w:rPr>
        <w:t xml:space="preserve">The EIPP Provider enrolment is not covered at this stage and then no analysis has been done yet on </w:t>
      </w:r>
      <w:r>
        <w:rPr>
          <w:rFonts w:ascii="Verdana" w:hAnsi="Verdana"/>
        </w:rPr>
        <w:t>the</w:t>
      </w:r>
      <w:r w:rsidR="0096107C">
        <w:rPr>
          <w:rFonts w:ascii="Verdana" w:hAnsi="Verdana"/>
        </w:rPr>
        <w:t xml:space="preserve"> need fo</w:t>
      </w:r>
      <w:r>
        <w:rPr>
          <w:rFonts w:ascii="Verdana" w:hAnsi="Verdana"/>
        </w:rPr>
        <w:t>r</w:t>
      </w:r>
      <w:r w:rsidR="0096107C">
        <w:rPr>
          <w:rFonts w:ascii="Verdana" w:hAnsi="Verdana"/>
        </w:rPr>
        <w:t xml:space="preserve"> servicing message for EIPP Provider enrolment</w:t>
      </w:r>
    </w:p>
    <w:p w14:paraId="36780573" w14:textId="6CDF8A8B" w:rsidR="0096107C" w:rsidRDefault="0096107C" w:rsidP="0096107C">
      <w:pPr>
        <w:pStyle w:val="ListParagraph"/>
        <w:numPr>
          <w:ilvl w:val="0"/>
          <w:numId w:val="22"/>
        </w:numPr>
        <w:rPr>
          <w:rFonts w:ascii="Verdana" w:hAnsi="Verdana"/>
        </w:rPr>
      </w:pPr>
      <w:r>
        <w:rPr>
          <w:rFonts w:ascii="Verdana" w:hAnsi="Verdana"/>
        </w:rPr>
        <w:t>A Payee can send an enrolment message to several PSP with which it has agreeements (Sarah Elfstrand)</w:t>
      </w:r>
    </w:p>
    <w:p w14:paraId="6133B1F1" w14:textId="4B4F2CAE" w:rsidR="0096107C" w:rsidRDefault="0096107C" w:rsidP="0096107C">
      <w:pPr>
        <w:pStyle w:val="ListParagraph"/>
        <w:numPr>
          <w:ilvl w:val="0"/>
          <w:numId w:val="22"/>
        </w:numPr>
        <w:rPr>
          <w:rFonts w:ascii="Verdana" w:hAnsi="Verdana"/>
        </w:rPr>
      </w:pPr>
      <w:r>
        <w:rPr>
          <w:rFonts w:ascii="Verdana" w:hAnsi="Verdana"/>
        </w:rPr>
        <w:t>The enrolment is for the Payee to be known in the system, therefore 1 single PSP would be sufficient. Further on,</w:t>
      </w:r>
      <w:r w:rsidR="00E33593">
        <w:rPr>
          <w:rFonts w:ascii="Verdana" w:hAnsi="Verdana"/>
        </w:rPr>
        <w:t xml:space="preserve"> after service activation,</w:t>
      </w:r>
      <w:r w:rsidR="00BA580C">
        <w:rPr>
          <w:rFonts w:ascii="Verdana" w:hAnsi="Verdana"/>
        </w:rPr>
        <w:t xml:space="preserve"> </w:t>
      </w:r>
      <w:r>
        <w:rPr>
          <w:rFonts w:ascii="Verdana" w:hAnsi="Verdana"/>
        </w:rPr>
        <w:t>it can deliver the RTPs through several PSPs, as well as it can use several PSPs to cash the amounts from the payments received. (Massimo Battistella)</w:t>
      </w:r>
    </w:p>
    <w:p w14:paraId="4887114E" w14:textId="11227C2F" w:rsidR="0096107C" w:rsidRDefault="0096107C" w:rsidP="0096107C">
      <w:pPr>
        <w:pStyle w:val="ListParagraph"/>
        <w:numPr>
          <w:ilvl w:val="0"/>
          <w:numId w:val="22"/>
        </w:numPr>
        <w:rPr>
          <w:rFonts w:ascii="Verdana" w:hAnsi="Verdana"/>
        </w:rPr>
      </w:pPr>
      <w:r>
        <w:rPr>
          <w:rFonts w:ascii="Verdana" w:hAnsi="Verdana"/>
        </w:rPr>
        <w:t>It is important to cover the basic needs: for the Payer to know what Payees are reachable, for the Payee to receive the activation request. All possible variations should be allowed as long as these needs are covered (Massimo Battistella)</w:t>
      </w:r>
      <w:r w:rsidR="00241A0B">
        <w:rPr>
          <w:rFonts w:ascii="Verdana" w:hAnsi="Verdana"/>
        </w:rPr>
        <w:t>. The slide 7 of the presentation on the scenarios was displayed to illustrate the combinations. In the 4 corner model the enrolment message is clearly needed, even if in practice a point-to-point activation (Payee-Payer) could be possible. But Payer-driven activation is essential as it allows the transmission of the Payer’s identity – including its PSP - up to the Payee. The Payee should also respond to the activation by OK/KO message and thus the Payer is informed that the reception of RTPs and E-invoices is from that moment possible. The Payee can use more than one EIPP SP to send the RTPs/E-invoices as long as it knows the identity of the Payer.</w:t>
      </w:r>
    </w:p>
    <w:p w14:paraId="6D808145" w14:textId="14E79E82" w:rsidR="0096107C" w:rsidRDefault="0050640D" w:rsidP="0096107C">
      <w:pPr>
        <w:pStyle w:val="ListParagraph"/>
        <w:numPr>
          <w:ilvl w:val="0"/>
          <w:numId w:val="22"/>
        </w:numPr>
        <w:rPr>
          <w:rFonts w:ascii="Verdana" w:hAnsi="Verdana"/>
        </w:rPr>
      </w:pPr>
      <w:r>
        <w:rPr>
          <w:rFonts w:ascii="Verdana" w:hAnsi="Verdana"/>
        </w:rPr>
        <w:lastRenderedPageBreak/>
        <w:t>The activation message involves two parties so it should express clearly the Payer consent (Jacques Vanhautère).</w:t>
      </w:r>
    </w:p>
    <w:p w14:paraId="14B8A9E9" w14:textId="35042C79" w:rsidR="0050640D" w:rsidRDefault="0050640D" w:rsidP="0096107C">
      <w:pPr>
        <w:pStyle w:val="ListParagraph"/>
        <w:numPr>
          <w:ilvl w:val="0"/>
          <w:numId w:val="22"/>
        </w:numPr>
        <w:rPr>
          <w:rFonts w:ascii="Verdana" w:hAnsi="Verdana"/>
        </w:rPr>
      </w:pPr>
      <w:r>
        <w:rPr>
          <w:rFonts w:ascii="Verdana" w:hAnsi="Verdana"/>
        </w:rPr>
        <w:t>Some Payees don’t want to be seen in the network (e.g. because they want to keep the SDD for payment of E-invoices) but want to be part of the EIPP network for some segments of Payers</w:t>
      </w:r>
      <w:r w:rsidR="00325474">
        <w:rPr>
          <w:rFonts w:ascii="Verdana" w:hAnsi="Verdana"/>
        </w:rPr>
        <w:t xml:space="preserve"> (Jacques Vanhautère)</w:t>
      </w:r>
    </w:p>
    <w:p w14:paraId="7C2AE942" w14:textId="639F0510" w:rsidR="00325474" w:rsidRDefault="00325474" w:rsidP="0096107C">
      <w:pPr>
        <w:pStyle w:val="ListParagraph"/>
        <w:numPr>
          <w:ilvl w:val="0"/>
          <w:numId w:val="22"/>
        </w:numPr>
        <w:rPr>
          <w:rFonts w:ascii="Verdana" w:hAnsi="Verdana"/>
        </w:rPr>
      </w:pPr>
      <w:r>
        <w:rPr>
          <w:rFonts w:ascii="Verdana" w:hAnsi="Verdana"/>
        </w:rPr>
        <w:t>A Payee-driven activation could be considered but the issue is that the Payee doesn’t know the Payer identity, including its PSP</w:t>
      </w:r>
      <w:r w:rsidR="00101BEB">
        <w:rPr>
          <w:rFonts w:ascii="Verdana" w:hAnsi="Verdana"/>
        </w:rPr>
        <w:t>. Better is to tackle the issue of not-visible Payees at the level of business rules</w:t>
      </w:r>
      <w:r w:rsidR="00BA580C">
        <w:rPr>
          <w:rFonts w:ascii="Verdana" w:hAnsi="Verdana"/>
        </w:rPr>
        <w:t xml:space="preserve">, </w:t>
      </w:r>
      <w:r w:rsidR="006B3302">
        <w:rPr>
          <w:rFonts w:ascii="Verdana" w:hAnsi="Verdana"/>
        </w:rPr>
        <w:t xml:space="preserve">not necessarily at the level of activation messages </w:t>
      </w:r>
      <w:r w:rsidR="00101BEB">
        <w:rPr>
          <w:rFonts w:ascii="Verdana" w:hAnsi="Verdana"/>
        </w:rPr>
        <w:t xml:space="preserve">. </w:t>
      </w:r>
      <w:r>
        <w:rPr>
          <w:rFonts w:ascii="Verdana" w:hAnsi="Verdana"/>
        </w:rPr>
        <w:t>(Massimo Battistella)</w:t>
      </w:r>
    </w:p>
    <w:p w14:paraId="1E4271FE" w14:textId="187CBFA3" w:rsidR="00101BEB" w:rsidRDefault="00101BEB" w:rsidP="0096107C">
      <w:pPr>
        <w:pStyle w:val="ListParagraph"/>
        <w:numPr>
          <w:ilvl w:val="0"/>
          <w:numId w:val="22"/>
        </w:numPr>
        <w:rPr>
          <w:rFonts w:ascii="Verdana" w:hAnsi="Verdana"/>
        </w:rPr>
      </w:pPr>
      <w:r>
        <w:rPr>
          <w:rFonts w:ascii="Verdana" w:hAnsi="Verdana"/>
        </w:rPr>
        <w:t>The primary goal of interoperability at pan-European level was mentioned, without negative impact on domestic solutions (Jacque</w:t>
      </w:r>
      <w:r w:rsidR="006B3302">
        <w:rPr>
          <w:rFonts w:ascii="Verdana" w:hAnsi="Verdana"/>
        </w:rPr>
        <w:t>s</w:t>
      </w:r>
      <w:r>
        <w:rPr>
          <w:rFonts w:ascii="Verdana" w:hAnsi="Verdana"/>
        </w:rPr>
        <w:t xml:space="preserve"> Vanhautère)</w:t>
      </w:r>
    </w:p>
    <w:p w14:paraId="5E66A837" w14:textId="75472905" w:rsidR="00325474" w:rsidRDefault="003A2CC3" w:rsidP="0096107C">
      <w:pPr>
        <w:pStyle w:val="ListParagraph"/>
        <w:numPr>
          <w:ilvl w:val="0"/>
          <w:numId w:val="22"/>
        </w:numPr>
        <w:rPr>
          <w:rFonts w:ascii="Verdana" w:hAnsi="Verdana"/>
        </w:rPr>
      </w:pPr>
      <w:r>
        <w:rPr>
          <w:rFonts w:ascii="Verdana" w:hAnsi="Verdana"/>
        </w:rPr>
        <w:t>Although the enrolment-activation messages seem suitable for large corporates aiming to recurrently send many E-invoices/RTP, it isn’t simple for small Sellers sending few E-invoices or for one-off sendings. Maybe an easier option should be found for this segment (Pascal Spittler)</w:t>
      </w:r>
    </w:p>
    <w:p w14:paraId="167575EE" w14:textId="41258992" w:rsidR="003A2CC3" w:rsidRDefault="003A2CC3" w:rsidP="0096107C">
      <w:pPr>
        <w:pStyle w:val="ListParagraph"/>
        <w:numPr>
          <w:ilvl w:val="0"/>
          <w:numId w:val="22"/>
        </w:numPr>
        <w:rPr>
          <w:rFonts w:ascii="Verdana" w:hAnsi="Verdana"/>
        </w:rPr>
      </w:pPr>
      <w:r>
        <w:rPr>
          <w:rFonts w:ascii="Verdana" w:hAnsi="Verdana"/>
        </w:rPr>
        <w:t>A clear definition of the terms “enrolment” and “activation” should be provided (Jacques Vanhautère)</w:t>
      </w:r>
    </w:p>
    <w:p w14:paraId="581B72EA" w14:textId="2D487A80" w:rsidR="003A2CC3" w:rsidRDefault="003A2CC3" w:rsidP="003A2CC3">
      <w:pPr>
        <w:rPr>
          <w:rFonts w:ascii="Verdana" w:hAnsi="Verdana"/>
        </w:rPr>
      </w:pPr>
    </w:p>
    <w:p w14:paraId="50903E2A" w14:textId="4F4F8DB8" w:rsidR="003A2CC3" w:rsidRDefault="003A2CC3" w:rsidP="003A2CC3">
      <w:pPr>
        <w:rPr>
          <w:rFonts w:ascii="Verdana" w:hAnsi="Verdana"/>
        </w:rPr>
      </w:pPr>
      <w:r>
        <w:rPr>
          <w:rFonts w:ascii="Verdana" w:hAnsi="Verdana"/>
        </w:rPr>
        <w:t xml:space="preserve">Rainer </w:t>
      </w:r>
      <w:proofErr w:type="spellStart"/>
      <w:r>
        <w:rPr>
          <w:rFonts w:ascii="Verdana" w:hAnsi="Verdana"/>
        </w:rPr>
        <w:t>Olt</w:t>
      </w:r>
      <w:proofErr w:type="spellEnd"/>
      <w:r>
        <w:rPr>
          <w:rFonts w:ascii="Verdana" w:hAnsi="Verdana"/>
        </w:rPr>
        <w:t xml:space="preserve"> proposed to return to the examination of the proposed structure of the servicing messages.</w:t>
      </w:r>
      <w:r w:rsidR="00CE7EE5">
        <w:rPr>
          <w:rFonts w:ascii="Verdana" w:hAnsi="Verdana"/>
        </w:rPr>
        <w:t xml:space="preserve"> The Group agreed and Jacques </w:t>
      </w:r>
      <w:proofErr w:type="spellStart"/>
      <w:r w:rsidR="00CE7EE5">
        <w:rPr>
          <w:rFonts w:ascii="Verdana" w:hAnsi="Verdana"/>
        </w:rPr>
        <w:t>Vanhautère</w:t>
      </w:r>
      <w:proofErr w:type="spellEnd"/>
      <w:r w:rsidR="00CE7EE5">
        <w:rPr>
          <w:rFonts w:ascii="Verdana" w:hAnsi="Verdana"/>
        </w:rPr>
        <w:t xml:space="preserve"> and Pirjo Ilola considered that the review of the flow diagrams and basic definitions was useful to have a common and clear idea about what these messages are about.</w:t>
      </w:r>
    </w:p>
    <w:p w14:paraId="4C5B2F4B" w14:textId="77777777" w:rsidR="003A2CC3" w:rsidRPr="003A2CC3" w:rsidRDefault="003A2CC3" w:rsidP="003A2CC3">
      <w:pPr>
        <w:rPr>
          <w:rFonts w:ascii="Verdana" w:hAnsi="Verdana"/>
        </w:rPr>
      </w:pPr>
    </w:p>
    <w:p w14:paraId="18D73217" w14:textId="77777777"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14:paraId="6FD7804F" w14:textId="396243CC" w:rsidR="009A7B2D" w:rsidRDefault="009A7B2D" w:rsidP="009A7B2D">
      <w:pPr>
        <w:ind w:left="360"/>
        <w:rPr>
          <w:rFonts w:ascii="Verdana" w:hAnsi="Verdana"/>
          <w:lang w:val="en-US"/>
        </w:rPr>
      </w:pPr>
    </w:p>
    <w:p w14:paraId="09CFAE92" w14:textId="7E678E69" w:rsidR="009A7B2D" w:rsidRDefault="002F290C" w:rsidP="009A7B2D">
      <w:pPr>
        <w:rPr>
          <w:rFonts w:ascii="Verdana" w:hAnsi="Verdana"/>
          <w:lang w:val="en-US"/>
        </w:rPr>
      </w:pPr>
      <w:r>
        <w:rPr>
          <w:rFonts w:ascii="Verdana" w:hAnsi="Verdana"/>
          <w:lang w:val="en-US"/>
        </w:rPr>
        <w:t>The Excel file “</w:t>
      </w:r>
      <w:r w:rsidRPr="002F290C">
        <w:rPr>
          <w:rFonts w:ascii="Verdana" w:hAnsi="Verdana"/>
          <w:lang w:val="en-US"/>
        </w:rPr>
        <w:t>Copy of 20180601- EIPP servicing messages draft_RO.xlsx</w:t>
      </w:r>
      <w:r>
        <w:rPr>
          <w:rFonts w:ascii="Verdana" w:hAnsi="Verdana"/>
          <w:lang w:val="en-US"/>
        </w:rPr>
        <w:t>” was displayed for detailed review. It contains proposed structures for enrolment, activation and corresponding responses.</w:t>
      </w:r>
    </w:p>
    <w:p w14:paraId="65CF3FFD" w14:textId="5AD6B1D6" w:rsidR="002F290C" w:rsidRDefault="002F290C" w:rsidP="009A7B2D">
      <w:pPr>
        <w:rPr>
          <w:rFonts w:ascii="Verdana" w:hAnsi="Verdana"/>
          <w:lang w:val="en-US"/>
        </w:rPr>
      </w:pPr>
    </w:p>
    <w:p w14:paraId="79715247" w14:textId="353D01C2" w:rsidR="002F290C" w:rsidRDefault="002F290C" w:rsidP="009A7B2D">
      <w:pPr>
        <w:rPr>
          <w:rFonts w:ascii="Verdana" w:hAnsi="Verdana"/>
          <w:lang w:val="en-US"/>
        </w:rPr>
      </w:pPr>
      <w:r>
        <w:rPr>
          <w:rFonts w:ascii="Verdana" w:hAnsi="Verdana"/>
          <w:lang w:val="en-US"/>
        </w:rPr>
        <w:t xml:space="preserve">Pirjo Ilola started to go through the tables. She proposed not to include the countries where each element is used as this is not relevant for the consultation. </w:t>
      </w:r>
    </w:p>
    <w:p w14:paraId="5C3B457E" w14:textId="68E5D47A" w:rsidR="002F290C" w:rsidRDefault="002F290C" w:rsidP="009A7B2D">
      <w:pPr>
        <w:rPr>
          <w:rFonts w:ascii="Verdana" w:hAnsi="Verdana"/>
          <w:lang w:val="en-US"/>
        </w:rPr>
      </w:pPr>
    </w:p>
    <w:p w14:paraId="0B5BDB9F" w14:textId="333C0557" w:rsidR="002F290C" w:rsidRDefault="0069242B" w:rsidP="002F290C">
      <w:pPr>
        <w:rPr>
          <w:rFonts w:ascii="Verdana" w:hAnsi="Verdana"/>
        </w:rPr>
      </w:pPr>
      <w:r>
        <w:rPr>
          <w:rFonts w:ascii="Verdana" w:hAnsi="Verdana"/>
        </w:rPr>
        <w:t>Some of the</w:t>
      </w:r>
      <w:r w:rsidR="002F290C">
        <w:rPr>
          <w:rFonts w:ascii="Verdana" w:hAnsi="Verdana"/>
        </w:rPr>
        <w:t xml:space="preserve"> remarks raised </w:t>
      </w:r>
      <w:r>
        <w:rPr>
          <w:rFonts w:ascii="Verdana" w:hAnsi="Verdana"/>
        </w:rPr>
        <w:t>about</w:t>
      </w:r>
      <w:r w:rsidR="002F290C">
        <w:rPr>
          <w:rFonts w:ascii="Verdana" w:hAnsi="Verdana"/>
        </w:rPr>
        <w:t xml:space="preserve"> the data elements </w:t>
      </w:r>
      <w:r>
        <w:rPr>
          <w:rFonts w:ascii="Verdana" w:hAnsi="Verdana"/>
        </w:rPr>
        <w:t>are</w:t>
      </w:r>
      <w:r w:rsidR="002F290C">
        <w:rPr>
          <w:rFonts w:ascii="Verdana" w:hAnsi="Verdana"/>
        </w:rPr>
        <w:t>:</w:t>
      </w:r>
    </w:p>
    <w:p w14:paraId="12DC0D70" w14:textId="7B130182" w:rsidR="002F290C" w:rsidRDefault="002F290C" w:rsidP="002F290C">
      <w:pPr>
        <w:pStyle w:val="ListParagraph"/>
        <w:numPr>
          <w:ilvl w:val="0"/>
          <w:numId w:val="23"/>
        </w:numPr>
        <w:rPr>
          <w:rFonts w:ascii="Verdana" w:hAnsi="Verdana"/>
          <w:lang w:val="en-US"/>
        </w:rPr>
      </w:pPr>
      <w:r>
        <w:rPr>
          <w:rFonts w:ascii="Verdana" w:hAnsi="Verdana"/>
          <w:lang w:val="en-US"/>
        </w:rPr>
        <w:t>If</w:t>
      </w:r>
      <w:r w:rsidRPr="002F290C">
        <w:rPr>
          <w:rFonts w:ascii="Verdana" w:hAnsi="Verdana"/>
          <w:lang w:val="en-US"/>
        </w:rPr>
        <w:t xml:space="preserve"> ISO standard will be considered, the usual approach is to have distinct messages for add, update and removal rather than a flag within a unique message to distinguish such operations</w:t>
      </w:r>
      <w:r>
        <w:rPr>
          <w:rFonts w:ascii="Verdana" w:hAnsi="Verdana"/>
          <w:lang w:val="en-US"/>
        </w:rPr>
        <w:t xml:space="preserve"> (</w:t>
      </w:r>
      <w:r w:rsidRPr="002F290C">
        <w:rPr>
          <w:rFonts w:ascii="Verdana" w:hAnsi="Verdana"/>
          <w:lang w:val="en-US"/>
        </w:rPr>
        <w:t>Dominique Forceville</w:t>
      </w:r>
      <w:r>
        <w:rPr>
          <w:rFonts w:ascii="Verdana" w:hAnsi="Verdana"/>
          <w:lang w:val="en-US"/>
        </w:rPr>
        <w:t>)</w:t>
      </w:r>
    </w:p>
    <w:p w14:paraId="232DDEE0" w14:textId="57B5A995" w:rsidR="002F290C" w:rsidRDefault="002F290C" w:rsidP="002F290C">
      <w:pPr>
        <w:pStyle w:val="ListParagraph"/>
        <w:numPr>
          <w:ilvl w:val="0"/>
          <w:numId w:val="23"/>
        </w:numPr>
        <w:rPr>
          <w:rFonts w:ascii="Verdana" w:hAnsi="Verdana"/>
          <w:lang w:val="en-US"/>
        </w:rPr>
      </w:pPr>
      <w:r>
        <w:rPr>
          <w:rFonts w:ascii="Verdana" w:hAnsi="Verdana"/>
          <w:lang w:val="en-US"/>
        </w:rPr>
        <w:t xml:space="preserve">The presence of Debtor PSP in the enrolment message allows to make the Seller visible only to the Debtors belonging to this PSP. This could be a method to make the Seller visible only by some Debtors. For </w:t>
      </w:r>
      <w:r w:rsidR="0069242B">
        <w:rPr>
          <w:rFonts w:ascii="Verdana" w:hAnsi="Verdana"/>
          <w:lang w:val="en-US"/>
        </w:rPr>
        <w:t>full coverage</w:t>
      </w:r>
      <w:r>
        <w:rPr>
          <w:rFonts w:ascii="Verdana" w:hAnsi="Verdana"/>
          <w:lang w:val="en-US"/>
        </w:rPr>
        <w:t xml:space="preserve"> to all </w:t>
      </w:r>
      <w:r w:rsidR="0069242B">
        <w:rPr>
          <w:rFonts w:ascii="Verdana" w:hAnsi="Verdana"/>
          <w:lang w:val="en-US"/>
        </w:rPr>
        <w:t xml:space="preserve">Debtors, several messages should be sent </w:t>
      </w:r>
      <w:r>
        <w:rPr>
          <w:rFonts w:ascii="Verdana" w:hAnsi="Verdana"/>
          <w:lang w:val="en-US"/>
        </w:rPr>
        <w:t>(Sarah Elfstrand)</w:t>
      </w:r>
    </w:p>
    <w:p w14:paraId="1DD058DF" w14:textId="669213F2" w:rsidR="0069242B" w:rsidRDefault="0069242B" w:rsidP="002F290C">
      <w:pPr>
        <w:pStyle w:val="ListParagraph"/>
        <w:numPr>
          <w:ilvl w:val="0"/>
          <w:numId w:val="23"/>
        </w:numPr>
        <w:rPr>
          <w:rFonts w:ascii="Verdana" w:hAnsi="Verdana"/>
          <w:lang w:val="en-US"/>
        </w:rPr>
      </w:pPr>
      <w:r>
        <w:rPr>
          <w:rFonts w:ascii="Verdana" w:hAnsi="Verdana"/>
          <w:lang w:val="en-US"/>
        </w:rPr>
        <w:t xml:space="preserve">The identity of parties should be aligned with the corresponding sections of the pain.013 (RTP) message. Maybe a column indicating the element also used in the RTP </w:t>
      </w:r>
      <w:r w:rsidR="001E066E">
        <w:rPr>
          <w:rFonts w:ascii="Verdana" w:hAnsi="Verdana"/>
          <w:lang w:val="en-US"/>
        </w:rPr>
        <w:t xml:space="preserve">is necessary </w:t>
      </w: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w:t>
      </w:r>
    </w:p>
    <w:p w14:paraId="45C57AF5" w14:textId="20A5A3AA" w:rsidR="0069242B" w:rsidRDefault="0069242B" w:rsidP="002F290C">
      <w:pPr>
        <w:pStyle w:val="ListParagraph"/>
        <w:numPr>
          <w:ilvl w:val="0"/>
          <w:numId w:val="23"/>
        </w:numPr>
        <w:rPr>
          <w:rFonts w:ascii="Verdana" w:hAnsi="Verdana"/>
          <w:lang w:val="en-US"/>
        </w:rPr>
      </w:pPr>
      <w:r>
        <w:rPr>
          <w:rFonts w:ascii="Verdana" w:hAnsi="Verdana"/>
          <w:lang w:val="en-US"/>
        </w:rPr>
        <w:t>A column “multiplicity” could be added (Dominique Forceville)</w:t>
      </w:r>
    </w:p>
    <w:p w14:paraId="0D84680F" w14:textId="37715B03" w:rsidR="0069242B" w:rsidRDefault="0069242B" w:rsidP="002F290C">
      <w:pPr>
        <w:pStyle w:val="ListParagraph"/>
        <w:numPr>
          <w:ilvl w:val="0"/>
          <w:numId w:val="23"/>
        </w:numPr>
        <w:rPr>
          <w:rFonts w:ascii="Verdana" w:hAnsi="Verdana"/>
          <w:lang w:val="en-US"/>
        </w:rPr>
      </w:pPr>
      <w:r>
        <w:rPr>
          <w:rFonts w:ascii="Verdana" w:hAnsi="Verdana"/>
          <w:lang w:val="en-US"/>
        </w:rPr>
        <w:t xml:space="preserve">Examples of Debtors identity: identifier in similar format with the IBAN (Finland), </w:t>
      </w:r>
      <w:proofErr w:type="spellStart"/>
      <w:r>
        <w:rPr>
          <w:rFonts w:ascii="Verdana" w:hAnsi="Verdana"/>
          <w:lang w:val="en-US"/>
        </w:rPr>
        <w:t>tokenised</w:t>
      </w:r>
      <w:proofErr w:type="spellEnd"/>
      <w:r>
        <w:rPr>
          <w:rFonts w:ascii="Verdana" w:hAnsi="Verdana"/>
          <w:lang w:val="en-US"/>
        </w:rPr>
        <w:t xml:space="preserve"> IBAN (France), IBAN or personal PIN in Estonia, personal </w:t>
      </w:r>
      <w:proofErr w:type="spellStart"/>
      <w:r>
        <w:rPr>
          <w:rFonts w:ascii="Verdana" w:hAnsi="Verdana"/>
          <w:lang w:val="en-US"/>
        </w:rPr>
        <w:t>code+BIC+country</w:t>
      </w:r>
      <w:proofErr w:type="spellEnd"/>
      <w:r>
        <w:rPr>
          <w:rFonts w:ascii="Verdana" w:hAnsi="Verdana"/>
          <w:lang w:val="en-US"/>
        </w:rPr>
        <w:t xml:space="preserve"> code in Sweden (Pirjo Ilola, Rainer </w:t>
      </w:r>
      <w:proofErr w:type="spellStart"/>
      <w:r>
        <w:rPr>
          <w:rFonts w:ascii="Verdana" w:hAnsi="Verdana"/>
          <w:lang w:val="en-US"/>
        </w:rPr>
        <w:t>Olt</w:t>
      </w:r>
      <w:proofErr w:type="spellEnd"/>
      <w:r>
        <w:rPr>
          <w:rFonts w:ascii="Verdana" w:hAnsi="Verdana"/>
          <w:lang w:val="en-US"/>
        </w:rPr>
        <w:t xml:space="preserve">, Sarah Elfstrand, Jacques </w:t>
      </w:r>
      <w:proofErr w:type="spellStart"/>
      <w:r>
        <w:rPr>
          <w:rFonts w:ascii="Verdana" w:hAnsi="Verdana"/>
          <w:lang w:val="en-US"/>
        </w:rPr>
        <w:t>Vanhautère</w:t>
      </w:r>
      <w:proofErr w:type="spellEnd"/>
      <w:r>
        <w:rPr>
          <w:rFonts w:ascii="Verdana" w:hAnsi="Verdana"/>
          <w:lang w:val="en-US"/>
        </w:rPr>
        <w:t>)</w:t>
      </w:r>
    </w:p>
    <w:p w14:paraId="12BD5BB5" w14:textId="546A2206" w:rsidR="00CF4ABB" w:rsidRDefault="00CF4ABB" w:rsidP="00CF4ABB">
      <w:pPr>
        <w:rPr>
          <w:rFonts w:ascii="Verdana" w:hAnsi="Verdana"/>
          <w:lang w:val="en-US"/>
        </w:rPr>
      </w:pPr>
    </w:p>
    <w:p w14:paraId="06A8232A" w14:textId="1F05E805" w:rsidR="00CF4ABB" w:rsidRDefault="00CF4ABB" w:rsidP="00CF4ABB">
      <w:pPr>
        <w:rPr>
          <w:rFonts w:ascii="Verdana" w:hAnsi="Verdana"/>
          <w:lang w:val="en-US"/>
        </w:rPr>
      </w:pPr>
      <w:r>
        <w:rPr>
          <w:rFonts w:ascii="Verdana" w:hAnsi="Verdana"/>
          <w:lang w:val="en-US"/>
        </w:rPr>
        <w:t>It was agreed that Pirjo Ilola will draft a simplified, new version of the Excel table.</w:t>
      </w:r>
    </w:p>
    <w:p w14:paraId="40A2C46F" w14:textId="5C622DFA" w:rsidR="00CF4ABB" w:rsidRDefault="00CF4ABB" w:rsidP="00CF4ABB">
      <w:pPr>
        <w:rPr>
          <w:rFonts w:ascii="Verdana" w:hAnsi="Verdana"/>
          <w:lang w:val="en-US"/>
        </w:rPr>
      </w:pPr>
    </w:p>
    <w:p w14:paraId="3D8AABAF" w14:textId="249C2BF0" w:rsidR="00A51B3B" w:rsidRPr="00A51B3B" w:rsidRDefault="00A51B3B" w:rsidP="00A51B3B">
      <w:pPr>
        <w:pStyle w:val="ListParagraph"/>
        <w:numPr>
          <w:ilvl w:val="0"/>
          <w:numId w:val="6"/>
        </w:numPr>
        <w:rPr>
          <w:rFonts w:ascii="Verdana" w:hAnsi="Verdana"/>
          <w:b/>
          <w:sz w:val="24"/>
          <w:szCs w:val="24"/>
          <w:lang w:val="en-US"/>
        </w:rPr>
      </w:pPr>
      <w:r w:rsidRPr="00A51B3B">
        <w:rPr>
          <w:rFonts w:ascii="Verdana" w:hAnsi="Verdana"/>
          <w:b/>
          <w:sz w:val="24"/>
          <w:szCs w:val="24"/>
          <w:lang w:val="en-US"/>
        </w:rPr>
        <w:t>Agreement on the procedure and next step</w:t>
      </w:r>
      <w:r>
        <w:rPr>
          <w:rFonts w:ascii="Verdana" w:hAnsi="Verdana"/>
          <w:b/>
          <w:sz w:val="24"/>
          <w:szCs w:val="24"/>
          <w:lang w:val="en-US"/>
        </w:rPr>
        <w:t>s</w:t>
      </w:r>
      <w:r w:rsidRPr="00A51B3B">
        <w:rPr>
          <w:rFonts w:ascii="Verdana" w:hAnsi="Verdana"/>
          <w:b/>
          <w:sz w:val="24"/>
          <w:szCs w:val="24"/>
          <w:lang w:val="en-US"/>
        </w:rPr>
        <w:t xml:space="preserve"> for market consultation on servicing messages</w:t>
      </w:r>
    </w:p>
    <w:p w14:paraId="2A56BB75" w14:textId="77777777" w:rsidR="00A51B3B" w:rsidRDefault="00A51B3B" w:rsidP="00CF4ABB">
      <w:pPr>
        <w:rPr>
          <w:rFonts w:ascii="Verdana" w:hAnsi="Verdana"/>
          <w:lang w:val="en-US"/>
        </w:rPr>
      </w:pPr>
    </w:p>
    <w:p w14:paraId="7B63706B" w14:textId="0D1422A7" w:rsidR="00CF4ABB" w:rsidRDefault="00CF4ABB" w:rsidP="00CF4ABB">
      <w:pPr>
        <w:rPr>
          <w:rFonts w:ascii="Verdana" w:hAnsi="Verdana"/>
          <w:lang w:val="en-US"/>
        </w:rPr>
      </w:pPr>
      <w:r>
        <w:rPr>
          <w:rFonts w:ascii="Verdana" w:hAnsi="Verdana"/>
          <w:lang w:val="en-US"/>
        </w:rPr>
        <w:t xml:space="preserve">Valentin Vlad proposed to discuss and agree on the market consultation procedure. </w:t>
      </w:r>
      <w:r w:rsidR="003E768B">
        <w:rPr>
          <w:rFonts w:ascii="Verdana" w:hAnsi="Verdana"/>
          <w:lang w:val="en-US"/>
        </w:rPr>
        <w:t xml:space="preserve">He informed the Group that EPC </w:t>
      </w:r>
      <w:r>
        <w:rPr>
          <w:rFonts w:ascii="Verdana" w:hAnsi="Verdana"/>
          <w:lang w:val="en-US"/>
        </w:rPr>
        <w:t>proposed 3 groups of providers to be targeted:</w:t>
      </w:r>
    </w:p>
    <w:p w14:paraId="1EE5FEC4" w14:textId="4EBD8AF9" w:rsidR="00CF4ABB" w:rsidRDefault="00CF4ABB" w:rsidP="00CF4ABB">
      <w:pPr>
        <w:pStyle w:val="ListParagraph"/>
        <w:numPr>
          <w:ilvl w:val="0"/>
          <w:numId w:val="24"/>
        </w:numPr>
        <w:rPr>
          <w:rFonts w:ascii="Verdana" w:hAnsi="Verdana"/>
          <w:lang w:val="en-US"/>
        </w:rPr>
      </w:pPr>
      <w:r>
        <w:rPr>
          <w:rFonts w:ascii="Verdana" w:hAnsi="Verdana"/>
          <w:lang w:val="en-US"/>
        </w:rPr>
        <w:t>Members of EESPA. The distribution to this group would be done by the MSG members representing EESPA.</w:t>
      </w:r>
    </w:p>
    <w:p w14:paraId="7B118AF8" w14:textId="29CD286A" w:rsidR="00CF4ABB" w:rsidRDefault="00CF4ABB" w:rsidP="00CF4ABB">
      <w:pPr>
        <w:pStyle w:val="ListParagraph"/>
        <w:numPr>
          <w:ilvl w:val="0"/>
          <w:numId w:val="24"/>
        </w:numPr>
        <w:rPr>
          <w:rFonts w:ascii="Verdana" w:hAnsi="Verdana"/>
          <w:lang w:val="en-US"/>
        </w:rPr>
      </w:pPr>
      <w:r>
        <w:rPr>
          <w:rFonts w:ascii="Verdana" w:hAnsi="Verdana"/>
          <w:lang w:val="en-US"/>
        </w:rPr>
        <w:t>EPC EIPP mirroring task-force.  The distribution to this group would be done by the MSG members representing EPC.</w:t>
      </w:r>
    </w:p>
    <w:p w14:paraId="3E9445FF" w14:textId="756C273D" w:rsidR="00CF4ABB" w:rsidRDefault="00CF4ABB" w:rsidP="00CF4ABB">
      <w:pPr>
        <w:pStyle w:val="ListParagraph"/>
        <w:numPr>
          <w:ilvl w:val="0"/>
          <w:numId w:val="24"/>
        </w:numPr>
        <w:rPr>
          <w:rFonts w:ascii="Verdana" w:hAnsi="Verdana"/>
          <w:lang w:val="en-US"/>
        </w:rPr>
      </w:pPr>
      <w:r>
        <w:rPr>
          <w:rFonts w:ascii="Verdana" w:hAnsi="Verdana"/>
          <w:lang w:val="en-US"/>
        </w:rPr>
        <w:t>The providers that responded to the survey carried out in 2016 in support of</w:t>
      </w:r>
      <w:r w:rsidR="00105678">
        <w:rPr>
          <w:rFonts w:ascii="Verdana" w:hAnsi="Verdana"/>
          <w:lang w:val="en-US"/>
        </w:rPr>
        <w:t xml:space="preserve"> the work of</w:t>
      </w:r>
      <w:r>
        <w:rPr>
          <w:rFonts w:ascii="Verdana" w:hAnsi="Verdana"/>
          <w:lang w:val="en-US"/>
        </w:rPr>
        <w:t xml:space="preserve"> the ERPB Working Group</w:t>
      </w:r>
      <w:r w:rsidR="00105678">
        <w:rPr>
          <w:rFonts w:ascii="Verdana" w:hAnsi="Verdana"/>
          <w:lang w:val="en-US"/>
        </w:rPr>
        <w:t xml:space="preserve"> on EIPP. Valentin Vlad after review by the co-chairs will send the consultation request to this group.</w:t>
      </w:r>
    </w:p>
    <w:p w14:paraId="512A4446" w14:textId="5FFA0451" w:rsidR="00A51B3B" w:rsidRDefault="00A51B3B" w:rsidP="00A51B3B">
      <w:pPr>
        <w:rPr>
          <w:rFonts w:ascii="Verdana" w:hAnsi="Verdana"/>
          <w:lang w:val="en-US"/>
        </w:rPr>
      </w:pPr>
      <w:r>
        <w:rPr>
          <w:rFonts w:ascii="Verdana" w:hAnsi="Verdana"/>
          <w:lang w:val="en-US"/>
        </w:rPr>
        <w:t>The MSG agreed with this proposal.</w:t>
      </w:r>
    </w:p>
    <w:p w14:paraId="158489D8" w14:textId="18A8E4F5" w:rsidR="00A51B3B" w:rsidRDefault="00A51B3B" w:rsidP="00A51B3B">
      <w:pPr>
        <w:rPr>
          <w:rFonts w:ascii="Verdana" w:hAnsi="Verdana"/>
          <w:lang w:val="en-US"/>
        </w:rPr>
      </w:pPr>
    </w:p>
    <w:p w14:paraId="22645B67" w14:textId="57A5E7DC" w:rsidR="00A51B3B" w:rsidRPr="00A51B3B" w:rsidRDefault="00A51B3B" w:rsidP="00A51B3B">
      <w:pPr>
        <w:rPr>
          <w:rFonts w:ascii="Verdana" w:hAnsi="Verdana"/>
          <w:lang w:val="en-US"/>
        </w:rPr>
      </w:pPr>
      <w:r>
        <w:rPr>
          <w:rFonts w:ascii="Verdana" w:hAnsi="Verdana"/>
          <w:lang w:val="en-US"/>
        </w:rPr>
        <w:t xml:space="preserve">The rest of the time, the flow diagrams were </w:t>
      </w:r>
      <w:r w:rsidR="00D176EA">
        <w:rPr>
          <w:rFonts w:ascii="Verdana" w:hAnsi="Verdana"/>
          <w:lang w:val="en-US"/>
        </w:rPr>
        <w:t xml:space="preserve">modified </w:t>
      </w:r>
      <w:r>
        <w:rPr>
          <w:rFonts w:ascii="Verdana" w:hAnsi="Verdana"/>
          <w:lang w:val="en-US"/>
        </w:rPr>
        <w:t xml:space="preserve">to </w:t>
      </w:r>
      <w:r w:rsidR="00D176EA">
        <w:rPr>
          <w:rFonts w:ascii="Verdana" w:hAnsi="Verdana"/>
          <w:lang w:val="en-US"/>
        </w:rPr>
        <w:t xml:space="preserve">obtain </w:t>
      </w:r>
      <w:r>
        <w:rPr>
          <w:rFonts w:ascii="Verdana" w:hAnsi="Verdana"/>
          <w:lang w:val="en-US"/>
        </w:rPr>
        <w:t>a new version, “</w:t>
      </w:r>
      <w:r w:rsidRPr="00A51B3B">
        <w:rPr>
          <w:rFonts w:ascii="Verdana" w:hAnsi="Verdana"/>
          <w:lang w:val="en-US"/>
        </w:rPr>
        <w:t>EIPP Servicing message flows v03</w:t>
      </w:r>
      <w:r>
        <w:rPr>
          <w:rFonts w:ascii="Verdana" w:hAnsi="Verdana"/>
          <w:lang w:val="en-US"/>
        </w:rPr>
        <w:t xml:space="preserve">.pptx”, considering the outcome of the discussions. </w:t>
      </w:r>
    </w:p>
    <w:p w14:paraId="54154720" w14:textId="77777777" w:rsidR="002F290C" w:rsidRPr="002F290C" w:rsidRDefault="002F290C" w:rsidP="009A7B2D">
      <w:pPr>
        <w:rPr>
          <w:rFonts w:ascii="Verdana" w:hAnsi="Verdana"/>
        </w:rPr>
      </w:pPr>
    </w:p>
    <w:p w14:paraId="745E8267" w14:textId="77777777" w:rsidR="009A7B2D" w:rsidRPr="009A7B2D" w:rsidRDefault="009A7B2D" w:rsidP="009A7B2D">
      <w:pPr>
        <w:ind w:left="360"/>
        <w:rPr>
          <w:rFonts w:ascii="Verdana" w:hAnsi="Verdana"/>
          <w:b/>
          <w:sz w:val="28"/>
          <w:szCs w:val="28"/>
          <w:lang w:val="en-US"/>
        </w:rPr>
      </w:pPr>
    </w:p>
    <w:p w14:paraId="2923BA07" w14:textId="7A34D2C6" w:rsidR="00C45B85" w:rsidRPr="00426DAA" w:rsidRDefault="00C45B85" w:rsidP="00C45B85">
      <w:pPr>
        <w:numPr>
          <w:ilvl w:val="0"/>
          <w:numId w:val="6"/>
        </w:numPr>
        <w:rPr>
          <w:rFonts w:ascii="Verdana" w:hAnsi="Verdana"/>
          <w:b/>
          <w:sz w:val="28"/>
          <w:szCs w:val="28"/>
          <w:lang w:val="en-US"/>
        </w:rPr>
      </w:pPr>
      <w:r w:rsidRPr="00C45B85">
        <w:rPr>
          <w:rFonts w:ascii="Verdana" w:hAnsi="Verdana"/>
          <w:b/>
          <w:lang w:val="en-US"/>
        </w:rPr>
        <w:t xml:space="preserve">Actions points </w:t>
      </w:r>
      <w:r w:rsidR="003E768B">
        <w:rPr>
          <w:rFonts w:ascii="Verdana" w:hAnsi="Verdana"/>
          <w:b/>
          <w:lang w:val="en-US"/>
        </w:rPr>
        <w:t>and next steps</w:t>
      </w:r>
    </w:p>
    <w:p w14:paraId="5AA47696" w14:textId="77777777" w:rsidR="00861569" w:rsidRPr="00123F87" w:rsidRDefault="00861569" w:rsidP="00BA08F1">
      <w:pPr>
        <w:rPr>
          <w:rFonts w:ascii="Verdana" w:hAnsi="Verdana"/>
        </w:rPr>
      </w:pPr>
    </w:p>
    <w:p w14:paraId="597F9D15" w14:textId="755C3C80" w:rsidR="00123F87" w:rsidRDefault="003E768B" w:rsidP="00861569">
      <w:pPr>
        <w:pStyle w:val="ListParagraph"/>
        <w:numPr>
          <w:ilvl w:val="0"/>
          <w:numId w:val="13"/>
        </w:numPr>
        <w:rPr>
          <w:rFonts w:ascii="Verdana" w:hAnsi="Verdana"/>
        </w:rPr>
      </w:pPr>
      <w:r>
        <w:rPr>
          <w:rFonts w:ascii="Verdana" w:hAnsi="Verdana"/>
        </w:rPr>
        <w:t>Pirjo Ilola will deliver a new version of the Excel file</w:t>
      </w:r>
      <w:r w:rsidR="00C45B85">
        <w:rPr>
          <w:rFonts w:ascii="Verdana" w:hAnsi="Verdana"/>
        </w:rPr>
        <w:t xml:space="preserve"> </w:t>
      </w:r>
      <w:r w:rsidR="007A0D50">
        <w:rPr>
          <w:rFonts w:ascii="Verdana" w:hAnsi="Verdana"/>
        </w:rPr>
        <w:t>by the end of the week.</w:t>
      </w:r>
    </w:p>
    <w:p w14:paraId="6E8A0424" w14:textId="70929A76" w:rsidR="007A0D50" w:rsidRDefault="007A0D50" w:rsidP="00861569">
      <w:pPr>
        <w:pStyle w:val="ListParagraph"/>
        <w:numPr>
          <w:ilvl w:val="0"/>
          <w:numId w:val="13"/>
        </w:numPr>
        <w:rPr>
          <w:rFonts w:ascii="Verdana" w:hAnsi="Verdana"/>
        </w:rPr>
      </w:pPr>
      <w:r>
        <w:rPr>
          <w:rFonts w:ascii="Verdana" w:hAnsi="Verdana"/>
        </w:rPr>
        <w:t>By Monday 11 June Valentin Vlad will write a draft of a letter to the providers explaining the context and the scope of the consultation. The letter along with the Excel file and flows diagram will be sent to the Group</w:t>
      </w:r>
    </w:p>
    <w:p w14:paraId="433CA1AB" w14:textId="2B9B7BC0" w:rsidR="007A0D50" w:rsidRDefault="007A0D50" w:rsidP="00861569">
      <w:pPr>
        <w:pStyle w:val="ListParagraph"/>
        <w:numPr>
          <w:ilvl w:val="0"/>
          <w:numId w:val="13"/>
        </w:numPr>
        <w:rPr>
          <w:rFonts w:ascii="Verdana" w:hAnsi="Verdana"/>
        </w:rPr>
      </w:pPr>
      <w:r>
        <w:rPr>
          <w:rFonts w:ascii="Verdana" w:hAnsi="Verdana"/>
        </w:rPr>
        <w:t>The members will have until Friday 15 June cob to send back their remarks to Valentin Vlad.</w:t>
      </w:r>
    </w:p>
    <w:p w14:paraId="69E98B3C" w14:textId="58821E2F" w:rsidR="007A0D50" w:rsidRDefault="007A0D50" w:rsidP="00861569">
      <w:pPr>
        <w:pStyle w:val="ListParagraph"/>
        <w:numPr>
          <w:ilvl w:val="0"/>
          <w:numId w:val="13"/>
        </w:numPr>
        <w:rPr>
          <w:rFonts w:ascii="Verdana" w:hAnsi="Verdana"/>
        </w:rPr>
      </w:pPr>
      <w:r>
        <w:rPr>
          <w:rFonts w:ascii="Verdana" w:hAnsi="Verdana"/>
        </w:rPr>
        <w:t>Valentin Vlad will obtain the EPC legal review of the first draft during th</w:t>
      </w:r>
      <w:r w:rsidR="003B0DD1">
        <w:rPr>
          <w:rFonts w:ascii="Verdana" w:hAnsi="Verdana"/>
        </w:rPr>
        <w:t>e</w:t>
      </w:r>
      <w:r>
        <w:rPr>
          <w:rFonts w:ascii="Verdana" w:hAnsi="Verdana"/>
        </w:rPr>
        <w:t xml:space="preserve"> week. Second review might be needed after the feed-backs from the members.</w:t>
      </w:r>
    </w:p>
    <w:p w14:paraId="1F8A2515" w14:textId="736FF060" w:rsidR="007A0D50" w:rsidRDefault="007A0D50" w:rsidP="00861569">
      <w:pPr>
        <w:pStyle w:val="ListParagraph"/>
        <w:numPr>
          <w:ilvl w:val="0"/>
          <w:numId w:val="13"/>
        </w:numPr>
        <w:rPr>
          <w:rFonts w:ascii="Verdana" w:hAnsi="Verdana"/>
        </w:rPr>
      </w:pPr>
      <w:r>
        <w:rPr>
          <w:rFonts w:ascii="Verdana" w:hAnsi="Verdana"/>
        </w:rPr>
        <w:t>The final version of the consultation package will be distributed to the Group by Monday 18 June.</w:t>
      </w:r>
    </w:p>
    <w:p w14:paraId="642ED360" w14:textId="6556E0DE" w:rsidR="007A0D50" w:rsidRDefault="007A0D50" w:rsidP="00861569">
      <w:pPr>
        <w:pStyle w:val="ListParagraph"/>
        <w:numPr>
          <w:ilvl w:val="0"/>
          <w:numId w:val="13"/>
        </w:numPr>
        <w:rPr>
          <w:rFonts w:ascii="Verdana" w:hAnsi="Verdana"/>
        </w:rPr>
      </w:pPr>
      <w:r>
        <w:rPr>
          <w:rFonts w:ascii="Verdana" w:hAnsi="Verdana"/>
        </w:rPr>
        <w:t>A conf-call will be scheduled on 2</w:t>
      </w:r>
      <w:r w:rsidR="0002692B">
        <w:rPr>
          <w:rFonts w:ascii="Verdana" w:hAnsi="Verdana"/>
        </w:rPr>
        <w:t>0</w:t>
      </w:r>
      <w:r>
        <w:rPr>
          <w:rFonts w:ascii="Verdana" w:hAnsi="Verdana"/>
        </w:rPr>
        <w:t xml:space="preserve"> June am for </w:t>
      </w:r>
      <w:r w:rsidR="003B0DD1">
        <w:rPr>
          <w:rFonts w:ascii="Verdana" w:hAnsi="Verdana"/>
        </w:rPr>
        <w:t xml:space="preserve">the </w:t>
      </w:r>
      <w:r>
        <w:rPr>
          <w:rFonts w:ascii="Verdana" w:hAnsi="Verdana"/>
        </w:rPr>
        <w:t>greenl</w:t>
      </w:r>
      <w:r w:rsidR="003B0DD1">
        <w:rPr>
          <w:rFonts w:ascii="Verdana" w:hAnsi="Verdana"/>
        </w:rPr>
        <w:t>i</w:t>
      </w:r>
      <w:r>
        <w:rPr>
          <w:rFonts w:ascii="Verdana" w:hAnsi="Verdana"/>
        </w:rPr>
        <w:t>ght and kick-off of the consultation.</w:t>
      </w:r>
    </w:p>
    <w:p w14:paraId="16EB9879" w14:textId="53DF925C" w:rsidR="007A0D50" w:rsidRDefault="007A0D50" w:rsidP="00861569">
      <w:pPr>
        <w:pStyle w:val="ListParagraph"/>
        <w:numPr>
          <w:ilvl w:val="0"/>
          <w:numId w:val="13"/>
        </w:numPr>
        <w:rPr>
          <w:rFonts w:ascii="Verdana" w:hAnsi="Verdana"/>
        </w:rPr>
      </w:pPr>
      <w:r>
        <w:rPr>
          <w:rFonts w:ascii="Verdana" w:hAnsi="Verdana"/>
        </w:rPr>
        <w:t>The consultation campaign will start on 21 June.</w:t>
      </w:r>
    </w:p>
    <w:p w14:paraId="0FBA021A" w14:textId="77777777" w:rsidR="00861569" w:rsidRPr="00861569" w:rsidRDefault="00861569" w:rsidP="00861569">
      <w:pPr>
        <w:pStyle w:val="ListParagraph"/>
        <w:rPr>
          <w:rFonts w:ascii="Verdana" w:hAnsi="Verdana"/>
        </w:rPr>
      </w:pPr>
    </w:p>
    <w:p w14:paraId="6DEF6041" w14:textId="77777777" w:rsidR="00387F2C" w:rsidRDefault="006B019A" w:rsidP="00347015">
      <w:pPr>
        <w:rPr>
          <w:rFonts w:ascii="Verdana" w:hAnsi="Verdana"/>
          <w:b/>
          <w:bCs/>
          <w:lang w:val="en-US"/>
        </w:rPr>
      </w:pPr>
      <w:r w:rsidRPr="00300DBC">
        <w:rPr>
          <w:rFonts w:ascii="Verdana" w:hAnsi="Verdana"/>
          <w:b/>
          <w:bCs/>
          <w:lang w:val="en-US"/>
        </w:rPr>
        <w:t>Annex I: Attendance List</w:t>
      </w:r>
    </w:p>
    <w:p w14:paraId="16E5B0BB" w14:textId="7CE3E5B3" w:rsidR="00215F4E" w:rsidRDefault="00215F4E" w:rsidP="00347015">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1141FB" w:rsidRPr="00A12212" w14:paraId="4DDC2BAD" w14:textId="77777777" w:rsidTr="00915BD8">
        <w:trPr>
          <w:trHeight w:val="335"/>
        </w:trPr>
        <w:tc>
          <w:tcPr>
            <w:tcW w:w="3539" w:type="dxa"/>
            <w:shd w:val="clear" w:color="auto" w:fill="ED7D31" w:themeFill="accent2"/>
            <w:vAlign w:val="center"/>
          </w:tcPr>
          <w:p w14:paraId="11E35270" w14:textId="77777777" w:rsidR="001141FB" w:rsidRPr="004A1568" w:rsidRDefault="001141FB" w:rsidP="00915BD8">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58DE438A" w14:textId="77777777" w:rsidR="001141FB" w:rsidRPr="004A1568" w:rsidRDefault="001141FB" w:rsidP="00915BD8">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61D1EF74" w14:textId="77777777" w:rsidR="001141FB" w:rsidRPr="004A1568" w:rsidRDefault="001141FB" w:rsidP="00915BD8">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1141FB" w:rsidRPr="00A12212" w14:paraId="7E490B12" w14:textId="77777777" w:rsidTr="00915BD8">
        <w:trPr>
          <w:trHeight w:val="335"/>
        </w:trPr>
        <w:tc>
          <w:tcPr>
            <w:tcW w:w="9493" w:type="dxa"/>
            <w:gridSpan w:val="3"/>
            <w:shd w:val="clear" w:color="auto" w:fill="ED7D31" w:themeFill="accent2"/>
            <w:vAlign w:val="center"/>
          </w:tcPr>
          <w:p w14:paraId="12847354" w14:textId="77777777" w:rsidR="001141FB" w:rsidRPr="004A1568" w:rsidRDefault="001141FB" w:rsidP="00915BD8">
            <w:pPr>
              <w:jc w:val="center"/>
              <w:rPr>
                <w:rFonts w:ascii="Verdana" w:hAnsi="Verdana" w:cs="Tahoma"/>
                <w:b/>
                <w:color w:val="002060"/>
                <w:sz w:val="20"/>
                <w:szCs w:val="20"/>
              </w:rPr>
            </w:pPr>
            <w:r>
              <w:rPr>
                <w:rFonts w:ascii="Verdana" w:hAnsi="Verdana" w:cs="Tahoma"/>
                <w:b/>
                <w:color w:val="002060"/>
                <w:sz w:val="20"/>
                <w:szCs w:val="20"/>
              </w:rPr>
              <w:t>Chairs</w:t>
            </w:r>
          </w:p>
        </w:tc>
      </w:tr>
      <w:tr w:rsidR="001141FB" w:rsidRPr="00A12212" w14:paraId="713553CD" w14:textId="77777777" w:rsidTr="00915BD8">
        <w:trPr>
          <w:trHeight w:val="335"/>
        </w:trPr>
        <w:tc>
          <w:tcPr>
            <w:tcW w:w="3539" w:type="dxa"/>
            <w:vAlign w:val="center"/>
          </w:tcPr>
          <w:p w14:paraId="533A9C29" w14:textId="77777777" w:rsidR="001141FB" w:rsidRPr="004A1568" w:rsidRDefault="001141FB" w:rsidP="00915BD8">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402" w:type="dxa"/>
            <w:vAlign w:val="center"/>
          </w:tcPr>
          <w:p w14:paraId="0A85BD05" w14:textId="77777777" w:rsidR="001141FB" w:rsidRPr="004A1568" w:rsidRDefault="001141FB" w:rsidP="00915BD8">
            <w:pPr>
              <w:rPr>
                <w:rFonts w:ascii="Verdana" w:hAnsi="Verdana" w:cs="Tahoma"/>
                <w:sz w:val="20"/>
                <w:szCs w:val="20"/>
              </w:rPr>
            </w:pPr>
            <w:r w:rsidRPr="004A1568">
              <w:rPr>
                <w:rFonts w:ascii="Verdana" w:hAnsi="Verdana" w:cs="Tahoma"/>
                <w:sz w:val="20"/>
                <w:szCs w:val="20"/>
              </w:rPr>
              <w:t>EACT</w:t>
            </w:r>
          </w:p>
        </w:tc>
        <w:tc>
          <w:tcPr>
            <w:tcW w:w="2552" w:type="dxa"/>
            <w:vAlign w:val="center"/>
          </w:tcPr>
          <w:p w14:paraId="47B1206A"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210C9A4B" w14:textId="77777777" w:rsidTr="00915BD8">
        <w:trPr>
          <w:trHeight w:val="335"/>
        </w:trPr>
        <w:tc>
          <w:tcPr>
            <w:tcW w:w="3539" w:type="dxa"/>
            <w:vAlign w:val="center"/>
          </w:tcPr>
          <w:p w14:paraId="25DCE2C0" w14:textId="77777777" w:rsidR="001141FB" w:rsidRPr="004A1568" w:rsidRDefault="001141FB" w:rsidP="00915BD8">
            <w:pPr>
              <w:rPr>
                <w:rFonts w:ascii="Verdana" w:hAnsi="Verdana" w:cs="Tahoma"/>
                <w:sz w:val="20"/>
                <w:szCs w:val="20"/>
              </w:rPr>
            </w:pPr>
            <w:r>
              <w:rPr>
                <w:rFonts w:ascii="Verdana" w:hAnsi="Verdana" w:cs="Tahoma"/>
                <w:sz w:val="20"/>
                <w:szCs w:val="20"/>
              </w:rPr>
              <w:t>Pirjo Ilola</w:t>
            </w:r>
          </w:p>
        </w:tc>
        <w:tc>
          <w:tcPr>
            <w:tcW w:w="3402" w:type="dxa"/>
            <w:vAlign w:val="center"/>
          </w:tcPr>
          <w:p w14:paraId="25F39C38" w14:textId="77777777" w:rsidR="001141FB" w:rsidRPr="004A1568" w:rsidRDefault="001141FB" w:rsidP="00915BD8">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0DBCDA3A"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w:t>
            </w:r>
          </w:p>
        </w:tc>
      </w:tr>
      <w:tr w:rsidR="001141FB" w:rsidRPr="00A12212" w14:paraId="2C10CB55" w14:textId="77777777" w:rsidTr="00915BD8">
        <w:trPr>
          <w:trHeight w:val="335"/>
        </w:trPr>
        <w:tc>
          <w:tcPr>
            <w:tcW w:w="9493" w:type="dxa"/>
            <w:gridSpan w:val="3"/>
            <w:shd w:val="clear" w:color="auto" w:fill="ED7D31" w:themeFill="accent2"/>
            <w:vAlign w:val="center"/>
          </w:tcPr>
          <w:p w14:paraId="7B880410" w14:textId="77777777" w:rsidR="001141FB" w:rsidRPr="004A1568" w:rsidRDefault="001141FB" w:rsidP="00915BD8">
            <w:pPr>
              <w:jc w:val="center"/>
              <w:rPr>
                <w:rFonts w:ascii="Verdana" w:hAnsi="Verdana" w:cs="Tahoma"/>
                <w:b/>
                <w:color w:val="002060"/>
                <w:sz w:val="20"/>
                <w:szCs w:val="20"/>
              </w:rPr>
            </w:pPr>
            <w:r>
              <w:rPr>
                <w:rFonts w:ascii="Verdana" w:hAnsi="Verdana" w:cs="Tahoma"/>
                <w:b/>
                <w:color w:val="002060"/>
                <w:sz w:val="20"/>
                <w:szCs w:val="20"/>
              </w:rPr>
              <w:t>Members</w:t>
            </w:r>
          </w:p>
        </w:tc>
      </w:tr>
      <w:tr w:rsidR="001141FB" w:rsidRPr="00A12212" w14:paraId="747553D7" w14:textId="77777777" w:rsidTr="00915BD8">
        <w:trPr>
          <w:trHeight w:val="335"/>
        </w:trPr>
        <w:tc>
          <w:tcPr>
            <w:tcW w:w="3539" w:type="dxa"/>
            <w:vAlign w:val="center"/>
          </w:tcPr>
          <w:p w14:paraId="1B55368D" w14:textId="77777777" w:rsidR="001141FB" w:rsidRPr="004A1568" w:rsidRDefault="001141FB" w:rsidP="00915BD8">
            <w:pPr>
              <w:rPr>
                <w:rFonts w:ascii="Verdana" w:hAnsi="Verdana" w:cs="Tahoma"/>
                <w:sz w:val="20"/>
                <w:szCs w:val="20"/>
              </w:rPr>
            </w:pPr>
            <w:r>
              <w:rPr>
                <w:rFonts w:ascii="Verdana" w:hAnsi="Verdana" w:cs="Tahoma"/>
                <w:sz w:val="20"/>
                <w:szCs w:val="20"/>
              </w:rPr>
              <w:t>Sarah Elfstrand</w:t>
            </w:r>
          </w:p>
        </w:tc>
        <w:tc>
          <w:tcPr>
            <w:tcW w:w="3402" w:type="dxa"/>
            <w:vAlign w:val="center"/>
          </w:tcPr>
          <w:p w14:paraId="2F1A7B51" w14:textId="77777777" w:rsidR="001141FB" w:rsidRPr="00841115" w:rsidRDefault="001141FB" w:rsidP="00915BD8">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25F99FD4"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36316761" w14:textId="77777777" w:rsidTr="00915BD8">
        <w:trPr>
          <w:trHeight w:val="335"/>
        </w:trPr>
        <w:tc>
          <w:tcPr>
            <w:tcW w:w="3539" w:type="dxa"/>
            <w:vAlign w:val="center"/>
          </w:tcPr>
          <w:p w14:paraId="541E586A" w14:textId="77777777" w:rsidR="001141FB" w:rsidRPr="004A1568" w:rsidRDefault="001141FB" w:rsidP="00915BD8">
            <w:pPr>
              <w:rPr>
                <w:rFonts w:ascii="Verdana" w:hAnsi="Verdana" w:cs="Tahoma"/>
                <w:sz w:val="20"/>
                <w:szCs w:val="20"/>
              </w:rPr>
            </w:pPr>
            <w:r>
              <w:rPr>
                <w:rFonts w:ascii="Verdana" w:hAnsi="Verdana" w:cs="Tahoma"/>
                <w:sz w:val="20"/>
                <w:szCs w:val="20"/>
              </w:rPr>
              <w:t>Jacques Vanhautere</w:t>
            </w:r>
          </w:p>
        </w:tc>
        <w:tc>
          <w:tcPr>
            <w:tcW w:w="3402" w:type="dxa"/>
            <w:vAlign w:val="center"/>
          </w:tcPr>
          <w:p w14:paraId="2B32B758" w14:textId="77777777" w:rsidR="001141FB" w:rsidRPr="00841115" w:rsidRDefault="001141FB" w:rsidP="00915BD8">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53B086D4"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6FC9FB1D" w14:textId="77777777" w:rsidTr="00915BD8">
        <w:trPr>
          <w:trHeight w:val="335"/>
        </w:trPr>
        <w:tc>
          <w:tcPr>
            <w:tcW w:w="3539" w:type="dxa"/>
            <w:vAlign w:val="center"/>
          </w:tcPr>
          <w:p w14:paraId="2057D174" w14:textId="77777777" w:rsidR="001141FB" w:rsidRPr="004A1568" w:rsidRDefault="001141FB" w:rsidP="00915BD8">
            <w:pPr>
              <w:rPr>
                <w:rFonts w:ascii="Verdana" w:hAnsi="Verdana" w:cs="Tahoma"/>
                <w:sz w:val="20"/>
                <w:szCs w:val="20"/>
              </w:rPr>
            </w:pPr>
            <w:r>
              <w:rPr>
                <w:rFonts w:ascii="Verdana" w:hAnsi="Verdana" w:cs="Tahoma"/>
                <w:sz w:val="20"/>
                <w:szCs w:val="20"/>
              </w:rPr>
              <w:t>Albrecht Wallraf</w:t>
            </w:r>
          </w:p>
        </w:tc>
        <w:tc>
          <w:tcPr>
            <w:tcW w:w="3402" w:type="dxa"/>
            <w:vAlign w:val="center"/>
          </w:tcPr>
          <w:p w14:paraId="640B011E" w14:textId="77777777" w:rsidR="001141FB" w:rsidRPr="00841115" w:rsidRDefault="001141FB" w:rsidP="00915BD8">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2552" w:type="dxa"/>
            <w:vAlign w:val="center"/>
          </w:tcPr>
          <w:p w14:paraId="1536BBA9" w14:textId="77777777" w:rsidR="001141FB" w:rsidRPr="003E119D"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097DA697" w14:textId="77777777" w:rsidTr="00915BD8">
        <w:trPr>
          <w:trHeight w:val="335"/>
        </w:trPr>
        <w:tc>
          <w:tcPr>
            <w:tcW w:w="3539" w:type="dxa"/>
            <w:tcBorders>
              <w:bottom w:val="single" w:sz="4" w:space="0" w:color="auto"/>
            </w:tcBorders>
            <w:vAlign w:val="center"/>
          </w:tcPr>
          <w:p w14:paraId="32B374A2" w14:textId="77777777" w:rsidR="001141FB" w:rsidRDefault="001141FB" w:rsidP="00915BD8">
            <w:pPr>
              <w:rPr>
                <w:rFonts w:ascii="Verdana" w:hAnsi="Verdana" w:cs="Tahoma"/>
                <w:sz w:val="20"/>
                <w:szCs w:val="20"/>
              </w:rPr>
            </w:pPr>
            <w:r>
              <w:rPr>
                <w:rFonts w:ascii="Verdana" w:hAnsi="Verdana" w:cs="Tahoma"/>
                <w:sz w:val="20"/>
                <w:szCs w:val="20"/>
              </w:rPr>
              <w:t xml:space="preserve">Marta </w:t>
            </w:r>
            <w:proofErr w:type="spellStart"/>
            <w:r>
              <w:rPr>
                <w:rFonts w:ascii="Verdana" w:hAnsi="Verdana" w:cs="Tahoma"/>
                <w:sz w:val="20"/>
                <w:szCs w:val="20"/>
              </w:rPr>
              <w:t>Kijuk</w:t>
            </w:r>
            <w:proofErr w:type="spellEnd"/>
          </w:p>
        </w:tc>
        <w:tc>
          <w:tcPr>
            <w:tcW w:w="3402" w:type="dxa"/>
            <w:tcBorders>
              <w:bottom w:val="single" w:sz="4" w:space="0" w:color="auto"/>
            </w:tcBorders>
            <w:vAlign w:val="center"/>
          </w:tcPr>
          <w:p w14:paraId="298E3050" w14:textId="77777777" w:rsidR="001141FB" w:rsidRPr="00841115" w:rsidRDefault="001141FB" w:rsidP="00915BD8">
            <w:pPr>
              <w:rPr>
                <w:rFonts w:ascii="Verdana" w:hAnsi="Verdana"/>
                <w:color w:val="000000"/>
                <w:sz w:val="20"/>
                <w:szCs w:val="20"/>
                <w:lang w:eastAsia="fr-BE"/>
              </w:rPr>
            </w:pPr>
            <w:r w:rsidRPr="00841115">
              <w:rPr>
                <w:rFonts w:ascii="Verdana" w:hAnsi="Verdana"/>
                <w:color w:val="000000"/>
                <w:sz w:val="20"/>
                <w:szCs w:val="20"/>
                <w:lang w:eastAsia="fr-BE"/>
              </w:rPr>
              <w:t>EPC (</w:t>
            </w:r>
            <w:r>
              <w:rPr>
                <w:rFonts w:ascii="Verdana" w:hAnsi="Verdana"/>
                <w:color w:val="000000"/>
                <w:sz w:val="20"/>
                <w:szCs w:val="20"/>
                <w:lang w:eastAsia="fr-BE"/>
              </w:rPr>
              <w:t>Citi</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4EE02F26" w14:textId="77777777" w:rsidR="001141FB" w:rsidRPr="003E119D"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48706385" w14:textId="77777777" w:rsidTr="00915BD8">
        <w:trPr>
          <w:trHeight w:val="335"/>
        </w:trPr>
        <w:tc>
          <w:tcPr>
            <w:tcW w:w="3539" w:type="dxa"/>
            <w:tcBorders>
              <w:bottom w:val="single" w:sz="4" w:space="0" w:color="auto"/>
            </w:tcBorders>
            <w:vAlign w:val="center"/>
          </w:tcPr>
          <w:p w14:paraId="346CA3E8" w14:textId="77777777" w:rsidR="001141FB" w:rsidRPr="004A1568" w:rsidRDefault="001141FB" w:rsidP="00915BD8">
            <w:pPr>
              <w:rPr>
                <w:rFonts w:ascii="Verdana" w:hAnsi="Verdana" w:cs="Tahoma"/>
                <w:sz w:val="20"/>
                <w:szCs w:val="20"/>
              </w:rPr>
            </w:pPr>
            <w:r w:rsidRPr="00841115">
              <w:rPr>
                <w:rFonts w:ascii="Verdana" w:hAnsi="Verdana" w:cs="Tahoma"/>
                <w:sz w:val="20"/>
                <w:szCs w:val="20"/>
              </w:rPr>
              <w:t>Carlota Sustacha</w:t>
            </w:r>
          </w:p>
        </w:tc>
        <w:tc>
          <w:tcPr>
            <w:tcW w:w="3402" w:type="dxa"/>
            <w:tcBorders>
              <w:bottom w:val="single" w:sz="4" w:space="0" w:color="auto"/>
            </w:tcBorders>
            <w:vAlign w:val="center"/>
          </w:tcPr>
          <w:p w14:paraId="46D8C5D6" w14:textId="77777777" w:rsidR="001141FB" w:rsidRPr="00841115" w:rsidRDefault="001141FB" w:rsidP="00915BD8">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052A7252"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4A1568" w14:paraId="1CBAE8C4" w14:textId="77777777" w:rsidTr="00915BD8">
        <w:trPr>
          <w:trHeight w:val="335"/>
        </w:trPr>
        <w:tc>
          <w:tcPr>
            <w:tcW w:w="3539" w:type="dxa"/>
            <w:tcBorders>
              <w:top w:val="single" w:sz="4" w:space="0" w:color="auto"/>
            </w:tcBorders>
            <w:vAlign w:val="center"/>
          </w:tcPr>
          <w:p w14:paraId="1AA6B3D8" w14:textId="77777777" w:rsidR="001141FB" w:rsidRPr="004A1568" w:rsidRDefault="001141FB" w:rsidP="00915BD8">
            <w:pPr>
              <w:rPr>
                <w:rFonts w:ascii="Verdana" w:hAnsi="Verdana" w:cs="Tahoma"/>
                <w:sz w:val="20"/>
                <w:szCs w:val="20"/>
                <w:lang w:val="nl-NL"/>
              </w:rPr>
            </w:pPr>
            <w:r>
              <w:rPr>
                <w:rFonts w:ascii="Verdana" w:hAnsi="Verdana" w:cs="Tahoma"/>
                <w:sz w:val="20"/>
                <w:szCs w:val="20"/>
                <w:lang w:val="nl-NL"/>
              </w:rPr>
              <w:lastRenderedPageBreak/>
              <w:t>Jean Allix</w:t>
            </w:r>
          </w:p>
        </w:tc>
        <w:tc>
          <w:tcPr>
            <w:tcW w:w="3402" w:type="dxa"/>
            <w:tcBorders>
              <w:top w:val="single" w:sz="4" w:space="0" w:color="auto"/>
            </w:tcBorders>
            <w:vAlign w:val="center"/>
          </w:tcPr>
          <w:p w14:paraId="084E26BC" w14:textId="77777777" w:rsidR="001141FB" w:rsidRPr="004A1568" w:rsidRDefault="001141FB" w:rsidP="00915BD8">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3930B5CA" w14:textId="77777777" w:rsidR="001141FB" w:rsidRPr="004A1568"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345C344D" w14:textId="77777777" w:rsidTr="00915BD8">
        <w:trPr>
          <w:trHeight w:val="335"/>
        </w:trPr>
        <w:tc>
          <w:tcPr>
            <w:tcW w:w="3539" w:type="dxa"/>
            <w:vAlign w:val="center"/>
          </w:tcPr>
          <w:p w14:paraId="49806DA3" w14:textId="77777777" w:rsidR="001141FB" w:rsidRPr="004A1568" w:rsidRDefault="001141FB" w:rsidP="00915BD8">
            <w:pPr>
              <w:rPr>
                <w:rFonts w:ascii="Verdana" w:hAnsi="Verdana" w:cs="Tahoma"/>
                <w:sz w:val="20"/>
                <w:szCs w:val="20"/>
              </w:rPr>
            </w:pPr>
            <w:r>
              <w:rPr>
                <w:rFonts w:ascii="Verdana" w:hAnsi="Verdana" w:cs="Tahoma"/>
                <w:sz w:val="20"/>
                <w:szCs w:val="20"/>
              </w:rPr>
              <w:t xml:space="preserve">Tarik </w:t>
            </w:r>
            <w:proofErr w:type="spellStart"/>
            <w:r>
              <w:rPr>
                <w:rFonts w:ascii="Verdana" w:hAnsi="Verdana" w:cs="Tahoma"/>
                <w:sz w:val="20"/>
                <w:szCs w:val="20"/>
              </w:rPr>
              <w:t>Zerkti</w:t>
            </w:r>
            <w:proofErr w:type="spellEnd"/>
          </w:p>
        </w:tc>
        <w:tc>
          <w:tcPr>
            <w:tcW w:w="3402" w:type="dxa"/>
            <w:vAlign w:val="center"/>
          </w:tcPr>
          <w:p w14:paraId="5EFAD629" w14:textId="77777777" w:rsidR="001141FB" w:rsidRPr="004A1568" w:rsidRDefault="001141FB" w:rsidP="00915BD8">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57F6DBD4" w14:textId="77777777" w:rsidR="001141FB" w:rsidRPr="003E119D"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60F13539" w14:textId="77777777" w:rsidTr="00915BD8">
        <w:trPr>
          <w:trHeight w:val="335"/>
        </w:trPr>
        <w:tc>
          <w:tcPr>
            <w:tcW w:w="3539" w:type="dxa"/>
            <w:vAlign w:val="center"/>
          </w:tcPr>
          <w:p w14:paraId="504F311C" w14:textId="77777777" w:rsidR="001141FB" w:rsidRPr="004A1568" w:rsidRDefault="001141FB" w:rsidP="00915BD8">
            <w:pPr>
              <w:rPr>
                <w:rFonts w:ascii="Verdana" w:hAnsi="Verdana" w:cs="Tahoma"/>
                <w:sz w:val="20"/>
                <w:szCs w:val="20"/>
                <w:lang w:val="nl-NL"/>
              </w:rPr>
            </w:pPr>
            <w:r>
              <w:rPr>
                <w:rFonts w:ascii="Verdana" w:hAnsi="Verdana" w:cs="Tahoma"/>
                <w:sz w:val="20"/>
                <w:szCs w:val="20"/>
                <w:lang w:val="nl-NL"/>
              </w:rPr>
              <w:t>Michel Gillis</w:t>
            </w:r>
          </w:p>
        </w:tc>
        <w:tc>
          <w:tcPr>
            <w:tcW w:w="3402" w:type="dxa"/>
            <w:vAlign w:val="center"/>
          </w:tcPr>
          <w:p w14:paraId="091BCF6C" w14:textId="77777777" w:rsidR="001141FB" w:rsidRPr="004A1568" w:rsidRDefault="001141FB" w:rsidP="00915BD8">
            <w:pPr>
              <w:rPr>
                <w:rFonts w:ascii="Verdana" w:hAnsi="Verdana" w:cs="Tahoma"/>
                <w:sz w:val="20"/>
                <w:szCs w:val="20"/>
              </w:rPr>
            </w:pPr>
            <w:r>
              <w:rPr>
                <w:rFonts w:ascii="Verdana" w:hAnsi="Verdana" w:cs="Tahoma"/>
                <w:sz w:val="20"/>
                <w:szCs w:val="20"/>
              </w:rPr>
              <w:t>EESPA</w:t>
            </w:r>
          </w:p>
        </w:tc>
        <w:tc>
          <w:tcPr>
            <w:tcW w:w="2552" w:type="dxa"/>
            <w:vAlign w:val="center"/>
          </w:tcPr>
          <w:p w14:paraId="0AF12A52"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w:t>
            </w:r>
          </w:p>
        </w:tc>
      </w:tr>
      <w:tr w:rsidR="001141FB" w:rsidRPr="00A12212" w14:paraId="480C95C5" w14:textId="77777777" w:rsidTr="00915BD8">
        <w:trPr>
          <w:trHeight w:val="335"/>
        </w:trPr>
        <w:tc>
          <w:tcPr>
            <w:tcW w:w="3539" w:type="dxa"/>
            <w:vAlign w:val="center"/>
          </w:tcPr>
          <w:p w14:paraId="2093B6B5" w14:textId="77777777" w:rsidR="001141FB" w:rsidRDefault="001141FB" w:rsidP="00915BD8">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5DD4FFEA" w14:textId="77777777" w:rsidR="001141FB" w:rsidRDefault="001141FB" w:rsidP="00915BD8">
            <w:pPr>
              <w:rPr>
                <w:rFonts w:ascii="Verdana" w:hAnsi="Verdana" w:cs="Tahoma"/>
                <w:sz w:val="20"/>
                <w:szCs w:val="20"/>
              </w:rPr>
            </w:pPr>
            <w:r>
              <w:rPr>
                <w:rFonts w:ascii="Verdana" w:hAnsi="Verdana" w:cs="Tahoma"/>
                <w:sz w:val="20"/>
                <w:szCs w:val="20"/>
              </w:rPr>
              <w:t>EESPA</w:t>
            </w:r>
          </w:p>
        </w:tc>
        <w:tc>
          <w:tcPr>
            <w:tcW w:w="2552" w:type="dxa"/>
            <w:vAlign w:val="center"/>
          </w:tcPr>
          <w:p w14:paraId="4F6A9CC2" w14:textId="77777777" w:rsidR="001141FB"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6D28A547" w14:textId="77777777" w:rsidTr="00915BD8">
        <w:trPr>
          <w:trHeight w:val="335"/>
        </w:trPr>
        <w:tc>
          <w:tcPr>
            <w:tcW w:w="3539" w:type="dxa"/>
            <w:vAlign w:val="center"/>
          </w:tcPr>
          <w:p w14:paraId="25DA717F" w14:textId="77777777" w:rsidR="001141FB" w:rsidRDefault="001141FB" w:rsidP="00915BD8">
            <w:pPr>
              <w:rPr>
                <w:rFonts w:ascii="Verdana" w:hAnsi="Verdana" w:cs="Tahoma"/>
                <w:sz w:val="20"/>
                <w:szCs w:val="20"/>
                <w:lang w:val="nl-NL"/>
              </w:rPr>
            </w:pPr>
            <w:r>
              <w:rPr>
                <w:rFonts w:ascii="Verdana" w:hAnsi="Verdana" w:cs="Tahoma"/>
                <w:sz w:val="20"/>
                <w:szCs w:val="20"/>
                <w:lang w:val="nl-NL"/>
              </w:rPr>
              <w:t>Johannes Vermeire</w:t>
            </w:r>
          </w:p>
        </w:tc>
        <w:tc>
          <w:tcPr>
            <w:tcW w:w="3402" w:type="dxa"/>
            <w:vAlign w:val="center"/>
          </w:tcPr>
          <w:p w14:paraId="4840E130" w14:textId="77777777" w:rsidR="001141FB" w:rsidRDefault="001141FB" w:rsidP="00915BD8">
            <w:pPr>
              <w:rPr>
                <w:rFonts w:ascii="Verdana" w:hAnsi="Verdana" w:cs="Tahoma"/>
                <w:sz w:val="20"/>
                <w:szCs w:val="20"/>
              </w:rPr>
            </w:pPr>
            <w:r>
              <w:rPr>
                <w:rFonts w:ascii="Verdana" w:hAnsi="Verdana" w:cs="Tahoma"/>
                <w:sz w:val="20"/>
                <w:szCs w:val="20"/>
              </w:rPr>
              <w:t>EESPA</w:t>
            </w:r>
          </w:p>
        </w:tc>
        <w:tc>
          <w:tcPr>
            <w:tcW w:w="2552" w:type="dxa"/>
            <w:vAlign w:val="center"/>
          </w:tcPr>
          <w:p w14:paraId="7C0BD649" w14:textId="77777777" w:rsidR="001141FB"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56E01C55" w14:textId="77777777" w:rsidTr="00915BD8">
        <w:trPr>
          <w:trHeight w:val="335"/>
        </w:trPr>
        <w:tc>
          <w:tcPr>
            <w:tcW w:w="3539" w:type="dxa"/>
            <w:vAlign w:val="center"/>
          </w:tcPr>
          <w:p w14:paraId="4B599140" w14:textId="77777777" w:rsidR="001141FB" w:rsidRPr="004A1568" w:rsidRDefault="001141FB" w:rsidP="00915BD8">
            <w:pPr>
              <w:rPr>
                <w:rFonts w:ascii="Verdana" w:hAnsi="Verdana" w:cs="Tahoma"/>
                <w:sz w:val="20"/>
                <w:szCs w:val="20"/>
                <w:lang w:val="nl-NL"/>
              </w:rPr>
            </w:pPr>
            <w:r>
              <w:rPr>
                <w:rFonts w:ascii="Verdana" w:hAnsi="Verdana" w:cs="Tahoma"/>
                <w:sz w:val="20"/>
                <w:szCs w:val="20"/>
                <w:lang w:val="nl-NL"/>
              </w:rPr>
              <w:t>Pascal Spittler</w:t>
            </w:r>
          </w:p>
        </w:tc>
        <w:tc>
          <w:tcPr>
            <w:tcW w:w="3402" w:type="dxa"/>
            <w:vAlign w:val="center"/>
          </w:tcPr>
          <w:p w14:paraId="462612DA" w14:textId="77777777" w:rsidR="001141FB" w:rsidRDefault="001141FB" w:rsidP="00915BD8">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3DADFD6D" w14:textId="77777777" w:rsidR="001141FB" w:rsidRDefault="001141FB" w:rsidP="00915BD8">
            <w:pPr>
              <w:jc w:val="center"/>
              <w:rPr>
                <w:rFonts w:ascii="Verdana" w:hAnsi="Verdana" w:cs="Tahoma"/>
                <w:sz w:val="20"/>
                <w:szCs w:val="20"/>
              </w:rPr>
            </w:pPr>
            <w:r>
              <w:rPr>
                <w:rFonts w:ascii="Verdana" w:hAnsi="Verdana" w:cs="Tahoma"/>
                <w:sz w:val="20"/>
                <w:szCs w:val="20"/>
              </w:rPr>
              <w:t>Yes</w:t>
            </w:r>
          </w:p>
        </w:tc>
      </w:tr>
      <w:tr w:rsidR="001141FB" w:rsidRPr="00A12212" w14:paraId="4FAFEF20" w14:textId="77777777" w:rsidTr="00915BD8">
        <w:trPr>
          <w:trHeight w:val="335"/>
        </w:trPr>
        <w:tc>
          <w:tcPr>
            <w:tcW w:w="9493" w:type="dxa"/>
            <w:gridSpan w:val="3"/>
            <w:shd w:val="clear" w:color="auto" w:fill="ED7D31" w:themeFill="accent2"/>
            <w:vAlign w:val="center"/>
          </w:tcPr>
          <w:p w14:paraId="6EABCBA2" w14:textId="77777777" w:rsidR="001141FB" w:rsidRPr="004A1568" w:rsidRDefault="001141FB" w:rsidP="00915BD8">
            <w:pPr>
              <w:jc w:val="center"/>
              <w:rPr>
                <w:rFonts w:ascii="Verdana" w:hAnsi="Verdana" w:cs="Tahoma"/>
                <w:b/>
                <w:color w:val="002060"/>
                <w:sz w:val="20"/>
                <w:szCs w:val="20"/>
              </w:rPr>
            </w:pPr>
            <w:r>
              <w:rPr>
                <w:rFonts w:ascii="Verdana" w:hAnsi="Verdana" w:cs="Tahoma"/>
                <w:b/>
                <w:color w:val="002060"/>
                <w:sz w:val="20"/>
                <w:szCs w:val="20"/>
              </w:rPr>
              <w:t>Observers</w:t>
            </w:r>
          </w:p>
        </w:tc>
      </w:tr>
      <w:tr w:rsidR="001141FB" w:rsidRPr="00A12212" w14:paraId="3143C36B" w14:textId="77777777" w:rsidTr="00915BD8">
        <w:trPr>
          <w:trHeight w:val="335"/>
        </w:trPr>
        <w:tc>
          <w:tcPr>
            <w:tcW w:w="3539" w:type="dxa"/>
            <w:vAlign w:val="center"/>
          </w:tcPr>
          <w:p w14:paraId="2B758068" w14:textId="77777777" w:rsidR="001141FB" w:rsidRPr="004A1568" w:rsidRDefault="001141FB" w:rsidP="00915BD8">
            <w:pPr>
              <w:rPr>
                <w:rFonts w:ascii="Verdana" w:hAnsi="Verdana" w:cs="Tahoma"/>
                <w:sz w:val="20"/>
                <w:szCs w:val="20"/>
              </w:rPr>
            </w:pPr>
            <w:r w:rsidRPr="00841115">
              <w:rPr>
                <w:rFonts w:ascii="Verdana" w:hAnsi="Verdana" w:cs="Tahoma"/>
                <w:sz w:val="20"/>
                <w:szCs w:val="20"/>
              </w:rPr>
              <w:t>Dominique Forceville</w:t>
            </w:r>
          </w:p>
        </w:tc>
        <w:tc>
          <w:tcPr>
            <w:tcW w:w="3402" w:type="dxa"/>
            <w:vAlign w:val="center"/>
          </w:tcPr>
          <w:p w14:paraId="55CBF131" w14:textId="77777777" w:rsidR="001141FB" w:rsidRPr="004A1568" w:rsidRDefault="001141FB" w:rsidP="00915BD8">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0BF0D5B9"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w:t>
            </w:r>
          </w:p>
        </w:tc>
      </w:tr>
      <w:tr w:rsidR="001141FB" w:rsidRPr="00A12212" w14:paraId="09BD6218" w14:textId="77777777" w:rsidTr="00915BD8">
        <w:trPr>
          <w:trHeight w:val="335"/>
        </w:trPr>
        <w:tc>
          <w:tcPr>
            <w:tcW w:w="3539" w:type="dxa"/>
            <w:vAlign w:val="center"/>
          </w:tcPr>
          <w:p w14:paraId="0FACB5F8" w14:textId="77777777" w:rsidR="001141FB" w:rsidRPr="00F71FE0" w:rsidRDefault="001141FB" w:rsidP="00915BD8">
            <w:pPr>
              <w:rPr>
                <w:rFonts w:ascii="Verdana" w:hAnsi="Verdana" w:cs="Tahoma"/>
                <w:sz w:val="20"/>
                <w:szCs w:val="20"/>
              </w:rPr>
            </w:pPr>
            <w:r>
              <w:rPr>
                <w:rFonts w:ascii="Verdana" w:hAnsi="Verdana" w:cs="Tahoma"/>
                <w:sz w:val="20"/>
                <w:szCs w:val="20"/>
              </w:rPr>
              <w:t xml:space="preserve">Kari </w:t>
            </w:r>
            <w:proofErr w:type="spellStart"/>
            <w:r>
              <w:rPr>
                <w:rFonts w:ascii="Verdana" w:hAnsi="Verdana" w:cs="Tahoma"/>
                <w:sz w:val="20"/>
                <w:szCs w:val="20"/>
              </w:rPr>
              <w:t>Kemppainen</w:t>
            </w:r>
            <w:proofErr w:type="spellEnd"/>
          </w:p>
        </w:tc>
        <w:tc>
          <w:tcPr>
            <w:tcW w:w="3402" w:type="dxa"/>
            <w:vAlign w:val="center"/>
          </w:tcPr>
          <w:p w14:paraId="6FCD9341" w14:textId="77777777" w:rsidR="001141FB" w:rsidRPr="00841115" w:rsidRDefault="001141FB" w:rsidP="00915BD8">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r w:rsidRPr="0096272D">
              <w:rPr>
                <w:rFonts w:ascii="Verdana" w:hAnsi="Verdana" w:cs="Tahoma"/>
                <w:sz w:val="20"/>
                <w:szCs w:val="20"/>
              </w:rPr>
              <w:t>ECB</w:t>
            </w:r>
            <w:r w:rsidRPr="00841115">
              <w:rPr>
                <w:rFonts w:ascii="Verdana" w:hAnsi="Verdana" w:cs="Tahoma"/>
                <w:sz w:val="20"/>
                <w:szCs w:val="20"/>
              </w:rPr>
              <w:t>)</w:t>
            </w:r>
          </w:p>
        </w:tc>
        <w:tc>
          <w:tcPr>
            <w:tcW w:w="2552" w:type="dxa"/>
            <w:vAlign w:val="center"/>
          </w:tcPr>
          <w:p w14:paraId="3C970C3D"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4EFBA48C" w14:textId="77777777" w:rsidTr="00915BD8">
        <w:trPr>
          <w:trHeight w:val="335"/>
        </w:trPr>
        <w:tc>
          <w:tcPr>
            <w:tcW w:w="3539" w:type="dxa"/>
            <w:vAlign w:val="center"/>
          </w:tcPr>
          <w:p w14:paraId="4168F5B4" w14:textId="77777777" w:rsidR="001141FB" w:rsidRPr="00841115" w:rsidRDefault="001141FB" w:rsidP="00915BD8">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402" w:type="dxa"/>
            <w:vAlign w:val="center"/>
          </w:tcPr>
          <w:p w14:paraId="72A6E310" w14:textId="77777777" w:rsidR="001141FB" w:rsidRPr="00841115" w:rsidRDefault="001141FB" w:rsidP="00915BD8">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2552" w:type="dxa"/>
            <w:vAlign w:val="center"/>
          </w:tcPr>
          <w:p w14:paraId="0761D381"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 by phone</w:t>
            </w:r>
          </w:p>
        </w:tc>
      </w:tr>
      <w:tr w:rsidR="001141FB" w:rsidRPr="00A12212" w14:paraId="63415097" w14:textId="77777777" w:rsidTr="00915BD8">
        <w:trPr>
          <w:trHeight w:val="335"/>
        </w:trPr>
        <w:tc>
          <w:tcPr>
            <w:tcW w:w="3539" w:type="dxa"/>
            <w:vAlign w:val="center"/>
          </w:tcPr>
          <w:p w14:paraId="26E480E7" w14:textId="77777777" w:rsidR="001141FB" w:rsidRPr="00841115" w:rsidRDefault="001141FB" w:rsidP="00915BD8">
            <w:pPr>
              <w:rPr>
                <w:rFonts w:ascii="Verdana" w:hAnsi="Verdana" w:cs="Tahoma"/>
                <w:sz w:val="20"/>
                <w:szCs w:val="20"/>
              </w:rPr>
            </w:pPr>
            <w:r>
              <w:rPr>
                <w:rFonts w:ascii="Verdana" w:hAnsi="Verdana" w:cs="Tahoma"/>
                <w:sz w:val="20"/>
                <w:szCs w:val="20"/>
              </w:rPr>
              <w:t xml:space="preserve">Roxanne </w:t>
            </w:r>
            <w:proofErr w:type="spellStart"/>
            <w:r>
              <w:rPr>
                <w:rFonts w:ascii="Verdana" w:hAnsi="Verdana" w:cs="Tahoma"/>
                <w:sz w:val="20"/>
                <w:szCs w:val="20"/>
              </w:rPr>
              <w:t>Romme</w:t>
            </w:r>
            <w:proofErr w:type="spellEnd"/>
          </w:p>
        </w:tc>
        <w:tc>
          <w:tcPr>
            <w:tcW w:w="3402" w:type="dxa"/>
            <w:vAlign w:val="center"/>
          </w:tcPr>
          <w:p w14:paraId="2731E2EE" w14:textId="77777777" w:rsidR="001141FB" w:rsidRPr="00841115" w:rsidRDefault="001141FB" w:rsidP="00915BD8">
            <w:pPr>
              <w:rPr>
                <w:rFonts w:ascii="Verdana" w:hAnsi="Verdana" w:cs="Tahoma"/>
                <w:sz w:val="20"/>
                <w:szCs w:val="20"/>
              </w:rPr>
            </w:pPr>
            <w:r>
              <w:rPr>
                <w:rFonts w:ascii="Verdana" w:hAnsi="Verdana" w:cs="Tahoma"/>
                <w:sz w:val="20"/>
                <w:szCs w:val="20"/>
              </w:rPr>
              <w:t>EC/DG FISMA</w:t>
            </w:r>
          </w:p>
        </w:tc>
        <w:tc>
          <w:tcPr>
            <w:tcW w:w="2552" w:type="dxa"/>
            <w:vAlign w:val="center"/>
          </w:tcPr>
          <w:p w14:paraId="3FDB831A" w14:textId="77777777" w:rsidR="001141FB" w:rsidRPr="003E119D" w:rsidRDefault="001141FB" w:rsidP="00915BD8">
            <w:pPr>
              <w:jc w:val="center"/>
              <w:rPr>
                <w:rFonts w:ascii="Verdana" w:hAnsi="Verdana" w:cs="Tahoma"/>
                <w:sz w:val="20"/>
                <w:szCs w:val="20"/>
              </w:rPr>
            </w:pPr>
            <w:r>
              <w:rPr>
                <w:rFonts w:ascii="Verdana" w:hAnsi="Verdana" w:cs="Tahoma"/>
                <w:sz w:val="20"/>
                <w:szCs w:val="20"/>
              </w:rPr>
              <w:t>Apologised</w:t>
            </w:r>
          </w:p>
        </w:tc>
      </w:tr>
      <w:tr w:rsidR="001141FB" w:rsidRPr="00A12212" w14:paraId="1164C181" w14:textId="77777777" w:rsidTr="00915BD8">
        <w:trPr>
          <w:trHeight w:val="335"/>
        </w:trPr>
        <w:tc>
          <w:tcPr>
            <w:tcW w:w="9493" w:type="dxa"/>
            <w:gridSpan w:val="3"/>
            <w:shd w:val="clear" w:color="auto" w:fill="ED7D31" w:themeFill="accent2"/>
            <w:vAlign w:val="center"/>
          </w:tcPr>
          <w:p w14:paraId="5BBD8A05" w14:textId="77777777" w:rsidR="001141FB" w:rsidRPr="003E119D" w:rsidRDefault="001141FB" w:rsidP="00915BD8">
            <w:pPr>
              <w:jc w:val="center"/>
              <w:rPr>
                <w:rFonts w:ascii="Verdana" w:hAnsi="Verdana" w:cs="Tahoma"/>
                <w:sz w:val="20"/>
                <w:szCs w:val="20"/>
              </w:rPr>
            </w:pPr>
            <w:r>
              <w:rPr>
                <w:rFonts w:ascii="Verdana" w:hAnsi="Verdana" w:cs="Tahoma"/>
                <w:b/>
                <w:color w:val="002060"/>
                <w:sz w:val="20"/>
                <w:szCs w:val="20"/>
              </w:rPr>
              <w:t>Secretariat</w:t>
            </w:r>
          </w:p>
        </w:tc>
      </w:tr>
      <w:tr w:rsidR="001141FB" w:rsidRPr="003E119D" w14:paraId="6913B9A2" w14:textId="77777777" w:rsidTr="00915BD8">
        <w:trPr>
          <w:trHeight w:val="335"/>
        </w:trPr>
        <w:tc>
          <w:tcPr>
            <w:tcW w:w="3539" w:type="dxa"/>
            <w:vAlign w:val="center"/>
          </w:tcPr>
          <w:p w14:paraId="6160239D" w14:textId="77777777" w:rsidR="001141FB" w:rsidRPr="00841115" w:rsidRDefault="001141FB" w:rsidP="00915BD8">
            <w:pPr>
              <w:rPr>
                <w:rFonts w:ascii="Verdana" w:hAnsi="Verdana" w:cs="Tahoma"/>
                <w:sz w:val="20"/>
                <w:szCs w:val="20"/>
              </w:rPr>
            </w:pPr>
            <w:r>
              <w:rPr>
                <w:rFonts w:ascii="Verdana" w:hAnsi="Verdana" w:cs="Tahoma"/>
                <w:sz w:val="20"/>
                <w:szCs w:val="20"/>
              </w:rPr>
              <w:t>Valentin Vlad</w:t>
            </w:r>
          </w:p>
        </w:tc>
        <w:tc>
          <w:tcPr>
            <w:tcW w:w="3402" w:type="dxa"/>
            <w:vAlign w:val="center"/>
          </w:tcPr>
          <w:p w14:paraId="40432F41" w14:textId="77777777" w:rsidR="001141FB" w:rsidRPr="00841115" w:rsidRDefault="001141FB" w:rsidP="00915BD8">
            <w:pPr>
              <w:rPr>
                <w:rFonts w:ascii="Verdana" w:hAnsi="Verdana" w:cs="Tahoma"/>
                <w:sz w:val="20"/>
                <w:szCs w:val="20"/>
              </w:rPr>
            </w:pPr>
            <w:r>
              <w:rPr>
                <w:rFonts w:ascii="Verdana" w:hAnsi="Verdana" w:cs="Tahoma"/>
                <w:sz w:val="20"/>
                <w:szCs w:val="20"/>
              </w:rPr>
              <w:t>EPC</w:t>
            </w:r>
          </w:p>
        </w:tc>
        <w:tc>
          <w:tcPr>
            <w:tcW w:w="2552" w:type="dxa"/>
            <w:vAlign w:val="center"/>
          </w:tcPr>
          <w:p w14:paraId="6C7895B2" w14:textId="77777777" w:rsidR="001141FB" w:rsidRPr="003E119D" w:rsidRDefault="001141FB" w:rsidP="00915BD8">
            <w:pPr>
              <w:jc w:val="center"/>
              <w:rPr>
                <w:rFonts w:ascii="Verdana" w:hAnsi="Verdana" w:cs="Tahoma"/>
                <w:sz w:val="20"/>
                <w:szCs w:val="20"/>
              </w:rPr>
            </w:pPr>
            <w:r>
              <w:rPr>
                <w:rFonts w:ascii="Verdana" w:hAnsi="Verdana" w:cs="Tahoma"/>
                <w:sz w:val="20"/>
                <w:szCs w:val="20"/>
              </w:rPr>
              <w:t>Yes</w:t>
            </w:r>
          </w:p>
        </w:tc>
      </w:tr>
    </w:tbl>
    <w:p w14:paraId="4DEFF35F" w14:textId="77777777" w:rsidR="001141FB" w:rsidRDefault="001141FB" w:rsidP="00347015">
      <w:pPr>
        <w:rPr>
          <w:rFonts w:ascii="Verdana" w:hAnsi="Verdana"/>
          <w:b/>
          <w:bCs/>
          <w:lang w:val="en-US"/>
        </w:rPr>
      </w:pPr>
    </w:p>
    <w:sectPr w:rsidR="001141FB"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08B6" w14:textId="77777777" w:rsidR="000161B8" w:rsidRDefault="000161B8">
      <w:r>
        <w:separator/>
      </w:r>
    </w:p>
  </w:endnote>
  <w:endnote w:type="continuationSeparator" w:id="0">
    <w:p w14:paraId="10DA38FB" w14:textId="77777777" w:rsidR="000161B8" w:rsidRDefault="0001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3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53A38C60"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1141FB">
      <w:rPr>
        <w:rFonts w:ascii="Verdana" w:hAnsi="Verdana"/>
        <w:color w:val="0000FF"/>
        <w:sz w:val="20"/>
        <w:szCs w:val="20"/>
      </w:rPr>
      <w:t>23</w:t>
    </w:r>
    <w:r w:rsidRPr="00014D15">
      <w:rPr>
        <w:rFonts w:ascii="Verdana" w:hAnsi="Verdana"/>
        <w:color w:val="0000FF"/>
        <w:sz w:val="20"/>
        <w:szCs w:val="20"/>
      </w:rPr>
      <w:t xml:space="preserve">-18 Minutes of the </w:t>
    </w:r>
    <w:r w:rsidR="00CC3B1D">
      <w:rPr>
        <w:rFonts w:ascii="Verdana" w:hAnsi="Verdana"/>
        <w:color w:val="0000FF"/>
        <w:sz w:val="20"/>
        <w:szCs w:val="20"/>
      </w:rPr>
      <w:t>5</w:t>
    </w:r>
    <w:r w:rsidR="00215F4E" w:rsidRPr="00215F4E">
      <w:rPr>
        <w:rFonts w:ascii="Verdana" w:hAnsi="Verdana"/>
        <w:color w:val="0000FF"/>
        <w:sz w:val="20"/>
        <w:szCs w:val="20"/>
        <w:vertAlign w:val="superscript"/>
      </w:rPr>
      <w:t>th</w:t>
    </w:r>
    <w:r w:rsidR="00215F4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652F3413" w14:textId="74636F53"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8A2758">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6DD90021"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8A2758">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7C69" w14:textId="77777777" w:rsidR="000161B8" w:rsidRDefault="000161B8">
      <w:r>
        <w:separator/>
      </w:r>
    </w:p>
  </w:footnote>
  <w:footnote w:type="continuationSeparator" w:id="0">
    <w:p w14:paraId="085ACECE" w14:textId="77777777" w:rsidR="000161B8" w:rsidRDefault="0001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61483B5D"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9102B5">
            <w:rPr>
              <w:rFonts w:ascii="Verdana" w:hAnsi="Verdana"/>
              <w:sz w:val="20"/>
              <w:szCs w:val="20"/>
              <w:lang w:val="de-DE"/>
            </w:rPr>
            <w:t>23</w:t>
          </w:r>
          <w:r w:rsidRPr="00B84427">
            <w:rPr>
              <w:rFonts w:ascii="Verdana" w:hAnsi="Verdana"/>
              <w:sz w:val="20"/>
              <w:szCs w:val="20"/>
              <w:lang w:val="de-DE"/>
            </w:rPr>
            <w:t>-18</w:t>
          </w:r>
        </w:p>
        <w:p w14:paraId="4D45698D"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AEF248E" w14:textId="0A3BE8A5" w:rsidR="0014537F" w:rsidRPr="00B84427" w:rsidRDefault="009102B5" w:rsidP="00B84427">
          <w:pPr>
            <w:pStyle w:val="Header"/>
            <w:jc w:val="left"/>
            <w:rPr>
              <w:rFonts w:ascii="Verdana" w:hAnsi="Verdana"/>
              <w:sz w:val="20"/>
              <w:szCs w:val="20"/>
              <w:lang w:val="de-DE"/>
            </w:rPr>
          </w:pPr>
          <w:r>
            <w:rPr>
              <w:rFonts w:ascii="Verdana" w:hAnsi="Verdana"/>
              <w:sz w:val="20"/>
              <w:szCs w:val="20"/>
              <w:lang w:val="de-DE"/>
            </w:rPr>
            <w:t>07</w:t>
          </w:r>
          <w:r w:rsidR="0014537F" w:rsidRPr="00B84427">
            <w:rPr>
              <w:rFonts w:ascii="Verdana" w:hAnsi="Verdana"/>
              <w:sz w:val="20"/>
              <w:szCs w:val="20"/>
              <w:lang w:val="de-DE"/>
            </w:rPr>
            <w:t xml:space="preserve"> </w:t>
          </w:r>
          <w:r>
            <w:rPr>
              <w:rFonts w:ascii="Verdana" w:hAnsi="Verdana"/>
              <w:sz w:val="20"/>
              <w:szCs w:val="20"/>
              <w:lang w:val="de-DE"/>
            </w:rPr>
            <w:t>June</w:t>
          </w:r>
          <w:r w:rsidRPr="00B84427">
            <w:rPr>
              <w:rFonts w:ascii="Verdana" w:hAnsi="Verdana"/>
              <w:sz w:val="20"/>
              <w:szCs w:val="20"/>
              <w:lang w:val="de-DE"/>
            </w:rPr>
            <w:t xml:space="preserve"> </w:t>
          </w:r>
          <w:r w:rsidR="0014537F" w:rsidRPr="00B84427">
            <w:rPr>
              <w:rFonts w:ascii="Verdana" w:hAnsi="Verdana"/>
              <w:sz w:val="20"/>
              <w:szCs w:val="20"/>
              <w:lang w:val="de-DE"/>
            </w:rPr>
            <w:t>201</w:t>
          </w:r>
          <w:r>
            <w:rPr>
              <w:rFonts w:ascii="Verdana" w:hAnsi="Verdana"/>
              <w:sz w:val="20"/>
              <w:szCs w:val="20"/>
              <w:lang w:val="de-DE"/>
            </w:rPr>
            <w:t>8</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E2D6272"/>
    <w:multiLevelType w:val="hybridMultilevel"/>
    <w:tmpl w:val="1E04F038"/>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2"/>
  </w:num>
  <w:num w:numId="3">
    <w:abstractNumId w:val="4"/>
  </w:num>
  <w:num w:numId="4">
    <w:abstractNumId w:val="8"/>
  </w:num>
  <w:num w:numId="5">
    <w:abstractNumId w:val="17"/>
  </w:num>
  <w:num w:numId="6">
    <w:abstractNumId w:val="18"/>
  </w:num>
  <w:num w:numId="7">
    <w:abstractNumId w:val="12"/>
  </w:num>
  <w:num w:numId="8">
    <w:abstractNumId w:val="9"/>
  </w:num>
  <w:num w:numId="9">
    <w:abstractNumId w:val="20"/>
  </w:num>
  <w:num w:numId="10">
    <w:abstractNumId w:val="15"/>
  </w:num>
  <w:num w:numId="11">
    <w:abstractNumId w:val="0"/>
  </w:num>
  <w:num w:numId="12">
    <w:abstractNumId w:val="2"/>
  </w:num>
  <w:num w:numId="13">
    <w:abstractNumId w:val="3"/>
  </w:num>
  <w:num w:numId="14">
    <w:abstractNumId w:val="19"/>
  </w:num>
  <w:num w:numId="15">
    <w:abstractNumId w:val="16"/>
  </w:num>
  <w:num w:numId="16">
    <w:abstractNumId w:val="14"/>
  </w:num>
  <w:num w:numId="17">
    <w:abstractNumId w:val="1"/>
  </w:num>
  <w:num w:numId="18">
    <w:abstractNumId w:val="10"/>
  </w:num>
  <w:num w:numId="19">
    <w:abstractNumId w:val="6"/>
  </w:num>
  <w:num w:numId="20">
    <w:abstractNumId w:val="11"/>
  </w:num>
  <w:num w:numId="21">
    <w:abstractNumId w:val="23"/>
  </w:num>
  <w:num w:numId="22">
    <w:abstractNumId w:val="13"/>
  </w:num>
  <w:num w:numId="23">
    <w:abstractNumId w:val="5"/>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1B8"/>
    <w:rsid w:val="00016DE9"/>
    <w:rsid w:val="00017967"/>
    <w:rsid w:val="0002044B"/>
    <w:rsid w:val="00020DF8"/>
    <w:rsid w:val="00024230"/>
    <w:rsid w:val="00024F64"/>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494"/>
    <w:rsid w:val="00050AD3"/>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A95"/>
    <w:rsid w:val="00094C5D"/>
    <w:rsid w:val="00095278"/>
    <w:rsid w:val="00095DF4"/>
    <w:rsid w:val="00095F6B"/>
    <w:rsid w:val="00096A77"/>
    <w:rsid w:val="000970C0"/>
    <w:rsid w:val="000976DD"/>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D73"/>
    <w:rsid w:val="00123F87"/>
    <w:rsid w:val="001254AA"/>
    <w:rsid w:val="001258D7"/>
    <w:rsid w:val="001261B5"/>
    <w:rsid w:val="00130D1B"/>
    <w:rsid w:val="00133A32"/>
    <w:rsid w:val="00135209"/>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549C"/>
    <w:rsid w:val="00166A19"/>
    <w:rsid w:val="00171CD7"/>
    <w:rsid w:val="00171F9A"/>
    <w:rsid w:val="00173382"/>
    <w:rsid w:val="00173AC6"/>
    <w:rsid w:val="001748DF"/>
    <w:rsid w:val="00177F95"/>
    <w:rsid w:val="0018054C"/>
    <w:rsid w:val="00181D64"/>
    <w:rsid w:val="0018250B"/>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066E"/>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5051F"/>
    <w:rsid w:val="00251C12"/>
    <w:rsid w:val="00254D5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2F7139"/>
    <w:rsid w:val="0030043C"/>
    <w:rsid w:val="00300496"/>
    <w:rsid w:val="00300605"/>
    <w:rsid w:val="00300D56"/>
    <w:rsid w:val="00300DBC"/>
    <w:rsid w:val="00301D6C"/>
    <w:rsid w:val="003043A3"/>
    <w:rsid w:val="00305A5A"/>
    <w:rsid w:val="00307490"/>
    <w:rsid w:val="0030757A"/>
    <w:rsid w:val="00310170"/>
    <w:rsid w:val="00311719"/>
    <w:rsid w:val="00315B83"/>
    <w:rsid w:val="00315F9D"/>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736"/>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0DD1"/>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C5E"/>
    <w:rsid w:val="0042138E"/>
    <w:rsid w:val="00421DDE"/>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302"/>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309"/>
    <w:rsid w:val="0070053A"/>
    <w:rsid w:val="007019A3"/>
    <w:rsid w:val="00702353"/>
    <w:rsid w:val="00702D07"/>
    <w:rsid w:val="007031EA"/>
    <w:rsid w:val="00703287"/>
    <w:rsid w:val="00703BE5"/>
    <w:rsid w:val="007051DD"/>
    <w:rsid w:val="007116B4"/>
    <w:rsid w:val="00712009"/>
    <w:rsid w:val="0071239D"/>
    <w:rsid w:val="00712CBE"/>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47E7E"/>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62EB"/>
    <w:rsid w:val="00837CED"/>
    <w:rsid w:val="00837E8A"/>
    <w:rsid w:val="00840452"/>
    <w:rsid w:val="00843712"/>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A03BD"/>
    <w:rsid w:val="008A1A85"/>
    <w:rsid w:val="008A223D"/>
    <w:rsid w:val="008A2758"/>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59E2"/>
    <w:rsid w:val="0096681C"/>
    <w:rsid w:val="0096708E"/>
    <w:rsid w:val="00970BEF"/>
    <w:rsid w:val="00970D2A"/>
    <w:rsid w:val="00971CB4"/>
    <w:rsid w:val="00972204"/>
    <w:rsid w:val="009739C6"/>
    <w:rsid w:val="00975BCB"/>
    <w:rsid w:val="00976155"/>
    <w:rsid w:val="00980418"/>
    <w:rsid w:val="009813D4"/>
    <w:rsid w:val="00982209"/>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1B3B"/>
    <w:rsid w:val="00A52090"/>
    <w:rsid w:val="00A55204"/>
    <w:rsid w:val="00A563F9"/>
    <w:rsid w:val="00A5717F"/>
    <w:rsid w:val="00A57648"/>
    <w:rsid w:val="00A623E9"/>
    <w:rsid w:val="00A62C08"/>
    <w:rsid w:val="00A63B64"/>
    <w:rsid w:val="00A63BE8"/>
    <w:rsid w:val="00A6501D"/>
    <w:rsid w:val="00A65AFB"/>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200FF"/>
    <w:rsid w:val="00B2287E"/>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580C"/>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A3092"/>
    <w:rsid w:val="00CA41BB"/>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CE"/>
    <w:rsid w:val="00D009CE"/>
    <w:rsid w:val="00D02297"/>
    <w:rsid w:val="00D02788"/>
    <w:rsid w:val="00D02F51"/>
    <w:rsid w:val="00D0335E"/>
    <w:rsid w:val="00D04CC4"/>
    <w:rsid w:val="00D04F8E"/>
    <w:rsid w:val="00D05D9D"/>
    <w:rsid w:val="00D06998"/>
    <w:rsid w:val="00D109F9"/>
    <w:rsid w:val="00D1359B"/>
    <w:rsid w:val="00D1431F"/>
    <w:rsid w:val="00D15333"/>
    <w:rsid w:val="00D176EA"/>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3A33"/>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1123"/>
    <w:rsid w:val="00DB23D1"/>
    <w:rsid w:val="00DB3B0F"/>
    <w:rsid w:val="00DB5EBA"/>
    <w:rsid w:val="00DC0417"/>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31F58"/>
    <w:rsid w:val="00E32964"/>
    <w:rsid w:val="00E33593"/>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701D0"/>
    <w:rsid w:val="00E70345"/>
    <w:rsid w:val="00E70DCC"/>
    <w:rsid w:val="00E712B6"/>
    <w:rsid w:val="00E7220B"/>
    <w:rsid w:val="00E73ACF"/>
    <w:rsid w:val="00E76849"/>
    <w:rsid w:val="00E81C12"/>
    <w:rsid w:val="00E858FA"/>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717A5"/>
  <w15:chartTrackingRefBased/>
  <w15:docId w15:val="{4ADD2ABD-F874-4064-8915-442EF10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E8F6-55A2-44F3-AE42-52F6B8C6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2066</Words>
  <Characters>10703</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Valentin.Vlad@epc-cep.eu</dc:creator>
  <cp:keywords/>
  <cp:lastModifiedBy>Valentin Vlad</cp:lastModifiedBy>
  <cp:revision>3</cp:revision>
  <cp:lastPrinted>2015-04-02T08:43:00Z</cp:lastPrinted>
  <dcterms:created xsi:type="dcterms:W3CDTF">2018-07-04T14:57:00Z</dcterms:created>
  <dcterms:modified xsi:type="dcterms:W3CDTF">2018-07-04T15:04:00Z</dcterms:modified>
</cp:coreProperties>
</file>