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mphasis"/>
        </w:rPr>
        <w:alias w:val="Draft-Approved"/>
        <w:tag w:val="Draft-Approved"/>
        <w:id w:val="-1994017401"/>
        <w:placeholder>
          <w:docPart w:val="CD47337C1AA64D18AC31866683B2F72F"/>
        </w:placeholder>
        <w15:color w:val="99CC00"/>
        <w:dropDownList>
          <w:listItem w:displayText="Draft" w:value="Draft"/>
          <w:listItem w:displayText="Approved" w:value="Approved"/>
        </w:dropDownList>
      </w:sdtPr>
      <w:sdtEndPr>
        <w:rPr>
          <w:rStyle w:val="Emphasis"/>
        </w:rPr>
      </w:sdtEndPr>
      <w:sdtContent>
        <w:p w14:paraId="6D968279" w14:textId="32349055" w:rsidR="007E0E5D" w:rsidRPr="007E0E5D" w:rsidRDefault="003D7790" w:rsidP="007E0E5D">
          <w:pPr>
            <w:pStyle w:val="Heading2"/>
            <w:rPr>
              <w:rStyle w:val="Emphasis"/>
            </w:rPr>
          </w:pPr>
          <w:r>
            <w:rPr>
              <w:rStyle w:val="Emphasis"/>
            </w:rPr>
            <w:t>Approved</w:t>
          </w:r>
        </w:p>
      </w:sdtContent>
    </w:sdt>
    <w:p w14:paraId="42183BB7" w14:textId="63286C53" w:rsidR="00B40239" w:rsidRDefault="00B40239" w:rsidP="00B40239">
      <w:pPr>
        <w:pStyle w:val="TitleDoc"/>
      </w:pPr>
      <w:r>
        <w:t xml:space="preserve">Request for </w:t>
      </w:r>
      <w:r w:rsidR="00CB0557">
        <w:t>p</w:t>
      </w:r>
      <w:r>
        <w:t xml:space="preserve">ublic </w:t>
      </w:r>
      <w:r w:rsidR="00CB0557">
        <w:t>c</w:t>
      </w:r>
      <w:r>
        <w:t xml:space="preserve">onsultation’s input on </w:t>
      </w:r>
      <w:r w:rsidR="00CB0557">
        <w:t>a p</w:t>
      </w:r>
      <w:r w:rsidR="00143742">
        <w:t xml:space="preserve">ossible </w:t>
      </w:r>
      <w:r w:rsidR="00CB0557">
        <w:t>a</w:t>
      </w:r>
      <w:r w:rsidR="00143742">
        <w:t xml:space="preserve">dditional </w:t>
      </w:r>
      <w:r w:rsidR="00CB0557">
        <w:t>f</w:t>
      </w:r>
      <w:r w:rsidR="00143742">
        <w:t xml:space="preserve">unctionality </w:t>
      </w:r>
      <w:r>
        <w:t>of the SEPA Payment Account Access (SPAA) Scheme’s Rulebook</w:t>
      </w:r>
    </w:p>
    <w:p w14:paraId="36B7BAB7" w14:textId="77777777" w:rsidR="00B40239" w:rsidRDefault="00B40239" w:rsidP="00B40239">
      <w:pPr>
        <w:pStyle w:val="HEADINGBULLET"/>
      </w:pPr>
      <w:r>
        <w:t xml:space="preserve">Background and </w:t>
      </w:r>
      <w:r w:rsidR="00A7202C">
        <w:t>o</w:t>
      </w:r>
      <w:r>
        <w:t>bjectives</w:t>
      </w:r>
      <w:r w:rsidR="001F546A">
        <w:t xml:space="preserve"> </w:t>
      </w:r>
    </w:p>
    <w:p w14:paraId="4182D326" w14:textId="2591D689" w:rsidR="005A104C" w:rsidRDefault="00E36526" w:rsidP="00B40239">
      <w:r w:rsidRPr="00E36526">
        <w:t xml:space="preserve">In addition to the </w:t>
      </w:r>
      <w:r w:rsidR="00C63F64">
        <w:t>P</w:t>
      </w:r>
      <w:r w:rsidRPr="00E36526">
        <w:t>remium features</w:t>
      </w:r>
      <w:r w:rsidR="003120FE">
        <w:t xml:space="preserve"> (DS-PXX)</w:t>
      </w:r>
      <w:r w:rsidRPr="00E36526">
        <w:t xml:space="preserve"> listed in section</w:t>
      </w:r>
      <w:r w:rsidR="00F21D9A">
        <w:t xml:space="preserve"> 2</w:t>
      </w:r>
      <w:r>
        <w:t xml:space="preserve"> of the SPAA</w:t>
      </w:r>
      <w:r w:rsidR="00660CDE">
        <w:t xml:space="preserve"> Scheme</w:t>
      </w:r>
      <w:r>
        <w:t xml:space="preserve"> Rulebook</w:t>
      </w:r>
      <w:r w:rsidR="00DB7A65">
        <w:t xml:space="preserve"> </w:t>
      </w:r>
      <w:r w:rsidR="00DB7A65" w:rsidRPr="00DB7A65">
        <w:t>(document EPC012-22)</w:t>
      </w:r>
      <w:r w:rsidR="00F21D9A">
        <w:t xml:space="preserve"> currently</w:t>
      </w:r>
      <w:r>
        <w:t xml:space="preserve"> out for public consultation</w:t>
      </w:r>
      <w:r w:rsidRPr="00E36526">
        <w:t xml:space="preserve">, the SPAA </w:t>
      </w:r>
      <w:r w:rsidR="00F21D9A">
        <w:t>Multi-Stakeholder Group (</w:t>
      </w:r>
      <w:r w:rsidRPr="00E36526">
        <w:t>MSG</w:t>
      </w:r>
      <w:r w:rsidR="00F21D9A">
        <w:t>)</w:t>
      </w:r>
      <w:r w:rsidRPr="00E36526">
        <w:t xml:space="preserve"> </w:t>
      </w:r>
      <w:r w:rsidR="0093236D">
        <w:t xml:space="preserve">is </w:t>
      </w:r>
      <w:r w:rsidRPr="00E36526">
        <w:t>also consider</w:t>
      </w:r>
      <w:r w:rsidR="0093236D">
        <w:t>ing</w:t>
      </w:r>
      <w:r w:rsidRPr="00E36526">
        <w:t xml:space="preserve"> a </w:t>
      </w:r>
      <w:r w:rsidR="00C63F64">
        <w:t>P</w:t>
      </w:r>
      <w:r w:rsidR="008862CA">
        <w:t xml:space="preserve">remium feature </w:t>
      </w:r>
      <w:r w:rsidR="00D52ECA">
        <w:t>(i.e., Dataset)</w:t>
      </w:r>
      <w:r w:rsidRPr="00E36526">
        <w:t xml:space="preserve"> that would allow Asset Brokers to request a payment with transaction fees not borne by the Payer. </w:t>
      </w:r>
    </w:p>
    <w:p w14:paraId="52EB3C62" w14:textId="332F8BD9" w:rsidR="008862CA" w:rsidRDefault="008862CA" w:rsidP="008862CA">
      <w:r>
        <w:t>T</w:t>
      </w:r>
      <w:r w:rsidR="00242B42">
        <w:t xml:space="preserve">he purpose of such </w:t>
      </w:r>
      <w:r w:rsidR="00C63F64">
        <w:t>P</w:t>
      </w:r>
      <w:r w:rsidR="00242B42">
        <w:t>remium feature is t</w:t>
      </w:r>
      <w:r w:rsidR="00BA59B3">
        <w:t xml:space="preserve">o </w:t>
      </w:r>
      <w:r w:rsidR="00242B42">
        <w:t>make</w:t>
      </w:r>
      <w:r w:rsidR="00BA59B3">
        <w:t xml:space="preserve"> the</w:t>
      </w:r>
      <w:r>
        <w:t xml:space="preserve"> </w:t>
      </w:r>
      <w:r w:rsidR="0093236D">
        <w:t xml:space="preserve">SPAA </w:t>
      </w:r>
      <w:r>
        <w:t>Scheme a</w:t>
      </w:r>
      <w:r w:rsidR="00BA59B3">
        <w:t>n</w:t>
      </w:r>
      <w:r>
        <w:t xml:space="preserve"> attractive option for Asset Owners (Payers) and</w:t>
      </w:r>
      <w:r w:rsidR="00543017">
        <w:t xml:space="preserve"> </w:t>
      </w:r>
      <w:r w:rsidR="00EC57B5">
        <w:t xml:space="preserve">to enable </w:t>
      </w:r>
      <w:r>
        <w:t>Asset Users (</w:t>
      </w:r>
      <w:r w:rsidR="00C63F64">
        <w:t>m</w:t>
      </w:r>
      <w:r>
        <w:t>erchants)</w:t>
      </w:r>
      <w:r w:rsidR="00543017">
        <w:t xml:space="preserve"> to </w:t>
      </w:r>
      <w:r w:rsidR="007F2C92">
        <w:t>realise</w:t>
      </w:r>
      <w:r w:rsidR="00543017">
        <w:t xml:space="preserve"> the benefits provided by the SPAA </w:t>
      </w:r>
      <w:r w:rsidR="00660CDE">
        <w:t>S</w:t>
      </w:r>
      <w:r w:rsidR="00543017">
        <w:t>cheme</w:t>
      </w:r>
      <w:r w:rsidR="00660CDE">
        <w:t>,</w:t>
      </w:r>
      <w:r w:rsidR="00DB069D">
        <w:t xml:space="preserve"> </w:t>
      </w:r>
      <w:r w:rsidR="0093236D">
        <w:t xml:space="preserve">on top of the </w:t>
      </w:r>
      <w:r w:rsidR="00DB069D">
        <w:t xml:space="preserve">benefits inherent to </w:t>
      </w:r>
      <w:r w:rsidR="00EC57B5">
        <w:t>e.g.</w:t>
      </w:r>
      <w:r w:rsidR="001E2944">
        <w:t>,</w:t>
      </w:r>
      <w:r w:rsidR="00EC57B5">
        <w:t xml:space="preserve"> </w:t>
      </w:r>
      <w:r w:rsidR="00DB069D">
        <w:t>instant payments</w:t>
      </w:r>
      <w:r>
        <w:t xml:space="preserve">. </w:t>
      </w:r>
      <w:r w:rsidR="00BA59B3">
        <w:t>I</w:t>
      </w:r>
      <w:r>
        <w:t>f the Payer</w:t>
      </w:r>
      <w:r w:rsidR="00FC5B84">
        <w:t xml:space="preserve"> would have to bear transaction fees</w:t>
      </w:r>
      <w:r w:rsidR="00296125">
        <w:t xml:space="preserve"> per payment</w:t>
      </w:r>
      <w:r>
        <w:t xml:space="preserve">, </w:t>
      </w:r>
      <w:r w:rsidR="00BA59B3">
        <w:t>the usage of the Scheme w</w:t>
      </w:r>
      <w:r w:rsidR="0093236D">
        <w:t>ould</w:t>
      </w:r>
      <w:r w:rsidR="00BA59B3">
        <w:t xml:space="preserve"> be relatively unattractive, compared to</w:t>
      </w:r>
      <w:r w:rsidR="00AD089A">
        <w:t xml:space="preserve"> </w:t>
      </w:r>
      <w:r>
        <w:t>other payment options with low or no transaction fees</w:t>
      </w:r>
      <w:r w:rsidR="00296125">
        <w:t xml:space="preserve"> for the </w:t>
      </w:r>
      <w:r w:rsidR="00660CDE">
        <w:t>P</w:t>
      </w:r>
      <w:r w:rsidR="00296125">
        <w:t>ayer</w:t>
      </w:r>
      <w:r>
        <w:t xml:space="preserve">. </w:t>
      </w:r>
      <w:r w:rsidR="00543017">
        <w:t xml:space="preserve"> </w:t>
      </w:r>
    </w:p>
    <w:p w14:paraId="257864CE" w14:textId="7A0174BD" w:rsidR="00E36526" w:rsidRDefault="00E36526" w:rsidP="00B40239">
      <w:r w:rsidRPr="00E36526">
        <w:t>As part of the current public consultation, the market is invited to share its views on this potential functionality</w:t>
      </w:r>
      <w:r w:rsidR="00DB7A65">
        <w:t xml:space="preserve"> herewith described.</w:t>
      </w:r>
      <w:r w:rsidR="006E1A29">
        <w:t xml:space="preserve"> </w:t>
      </w:r>
      <w:r w:rsidR="00661046">
        <w:t>It is to be noted that t</w:t>
      </w:r>
      <w:r w:rsidR="006E1A29">
        <w:t xml:space="preserve">his document will be </w:t>
      </w:r>
      <w:r w:rsidR="00661046">
        <w:t>published</w:t>
      </w:r>
      <w:r w:rsidR="006E1A29">
        <w:t xml:space="preserve"> simultaneously with </w:t>
      </w:r>
      <w:r w:rsidR="00661046">
        <w:t xml:space="preserve">the </w:t>
      </w:r>
      <w:r w:rsidR="006E1A29">
        <w:t xml:space="preserve">draft version of the </w:t>
      </w:r>
      <w:r w:rsidR="00661046">
        <w:t xml:space="preserve">SPAA </w:t>
      </w:r>
      <w:r w:rsidR="00660CDE">
        <w:t>S</w:t>
      </w:r>
      <w:r w:rsidR="00661046">
        <w:t xml:space="preserve">cheme </w:t>
      </w:r>
      <w:r w:rsidR="00660CDE">
        <w:t>R</w:t>
      </w:r>
      <w:r w:rsidR="006E1A29">
        <w:t xml:space="preserve">ulebook. </w:t>
      </w:r>
      <w:r w:rsidR="00DB7A65">
        <w:br/>
      </w:r>
    </w:p>
    <w:p w14:paraId="16BFE737" w14:textId="77777777" w:rsidR="00B40239" w:rsidRDefault="00A7202C" w:rsidP="00B40239">
      <w:pPr>
        <w:pStyle w:val="HEADINGBULLET"/>
      </w:pPr>
      <w:r>
        <w:t>F</w:t>
      </w:r>
      <w:r w:rsidR="009567B2">
        <w:t xml:space="preserve">unctionality </w:t>
      </w:r>
      <w:r>
        <w:t>d</w:t>
      </w:r>
      <w:r w:rsidR="009567B2">
        <w:t xml:space="preserve">escription </w:t>
      </w:r>
    </w:p>
    <w:p w14:paraId="5B15DB2E" w14:textId="4280B6C9" w:rsidR="000B7859" w:rsidRDefault="003120FE" w:rsidP="00601374">
      <w:r w:rsidRPr="003120FE">
        <w:t>Th</w:t>
      </w:r>
      <w:r w:rsidR="000B7859">
        <w:t>e proposed</w:t>
      </w:r>
      <w:r w:rsidRPr="003120FE">
        <w:t xml:space="preserve"> Dataset</w:t>
      </w:r>
      <w:r w:rsidR="000B7859">
        <w:t xml:space="preserve"> </w:t>
      </w:r>
      <w:r w:rsidR="008D4BA4">
        <w:t xml:space="preserve">(see </w:t>
      </w:r>
      <w:r w:rsidR="00C63F64">
        <w:t>A</w:t>
      </w:r>
      <w:r w:rsidR="008D4BA4">
        <w:t xml:space="preserve">nnex I) </w:t>
      </w:r>
      <w:r w:rsidR="000B7859">
        <w:t>would</w:t>
      </w:r>
      <w:r w:rsidRPr="003120FE">
        <w:t xml:space="preserve"> describe the minimum API attribute requirements related to </w:t>
      </w:r>
      <w:r>
        <w:t>a</w:t>
      </w:r>
      <w:r w:rsidRPr="003120FE">
        <w:t xml:space="preserve"> request for not applying transaction fees for the </w:t>
      </w:r>
      <w:r w:rsidR="00660CDE">
        <w:t>P</w:t>
      </w:r>
      <w:r w:rsidRPr="003120FE">
        <w:t>ayer in relation to a payment.</w:t>
      </w:r>
      <w:r w:rsidR="00D52ECA">
        <w:t xml:space="preserve"> A</w:t>
      </w:r>
      <w:r w:rsidR="00D52ECA" w:rsidRPr="00D52ECA">
        <w:t xml:space="preserve">n Asset Broker would request </w:t>
      </w:r>
      <w:r w:rsidR="00C63F64">
        <w:t>an</w:t>
      </w:r>
      <w:r w:rsidR="00D52ECA" w:rsidRPr="00D52ECA">
        <w:t xml:space="preserve"> Asset Holder </w:t>
      </w:r>
      <w:r w:rsidR="00C63F64">
        <w:t xml:space="preserve">- </w:t>
      </w:r>
      <w:r w:rsidR="00C63F64" w:rsidRPr="00D52ECA">
        <w:t xml:space="preserve">via </w:t>
      </w:r>
      <w:r w:rsidR="00C63F64">
        <w:t xml:space="preserve">an </w:t>
      </w:r>
      <w:r w:rsidR="00C63F64" w:rsidRPr="00D52ECA">
        <w:t>API</w:t>
      </w:r>
      <w:r w:rsidR="00C63F64">
        <w:t xml:space="preserve"> -</w:t>
      </w:r>
      <w:r w:rsidR="00C63F64" w:rsidRPr="00D52ECA">
        <w:t xml:space="preserve"> </w:t>
      </w:r>
      <w:r w:rsidR="00D52ECA" w:rsidRPr="00D52ECA">
        <w:t xml:space="preserve">to not charge the </w:t>
      </w:r>
      <w:r w:rsidR="00251C97">
        <w:t>P</w:t>
      </w:r>
      <w:r w:rsidR="00D52ECA" w:rsidRPr="00D52ECA">
        <w:t xml:space="preserve">ayer for the underlying payment transaction (e.g., </w:t>
      </w:r>
      <w:r w:rsidR="00D52ECA">
        <w:t>a</w:t>
      </w:r>
      <w:r w:rsidR="009F6663">
        <w:t>(n instant)</w:t>
      </w:r>
      <w:r w:rsidR="00D52ECA">
        <w:t xml:space="preserve"> </w:t>
      </w:r>
      <w:r w:rsidR="00D52ECA" w:rsidRPr="00D52ECA">
        <w:t>credit transfer)</w:t>
      </w:r>
      <w:r w:rsidR="00D52ECA">
        <w:t>.</w:t>
      </w:r>
      <w:r w:rsidR="00444386">
        <w:t xml:space="preserve"> </w:t>
      </w:r>
    </w:p>
    <w:p w14:paraId="7086685F" w14:textId="1DC8C413" w:rsidR="0064155D" w:rsidRDefault="0064155D" w:rsidP="00601374">
      <w:r w:rsidRPr="0064155D">
        <w:t xml:space="preserve">The </w:t>
      </w:r>
      <w:r w:rsidR="00251C97">
        <w:t>P</w:t>
      </w:r>
      <w:r w:rsidRPr="0064155D">
        <w:t xml:space="preserve">ayer’s charge would instead be ‘absorbed’ by the Asset Broker, which, depending on the use case, could be the </w:t>
      </w:r>
      <w:r w:rsidR="00251C97">
        <w:t>P</w:t>
      </w:r>
      <w:r w:rsidRPr="0064155D">
        <w:t xml:space="preserve">ayee’s Account Servicing Payment Service Provider (ASPSP) or not. The Asset Broker could decide to recoup the charge as part of the charges applied to its </w:t>
      </w:r>
      <w:r w:rsidR="00BD5958">
        <w:t>customers</w:t>
      </w:r>
      <w:r w:rsidRPr="0064155D">
        <w:t xml:space="preserve"> (e.g.</w:t>
      </w:r>
      <w:r w:rsidR="003A1A80">
        <w:t xml:space="preserve">, </w:t>
      </w:r>
      <w:r w:rsidRPr="0064155D">
        <w:t>merchants).</w:t>
      </w:r>
    </w:p>
    <w:p w14:paraId="6F5EFD98" w14:textId="3A16D6C8" w:rsidR="007A178F" w:rsidRDefault="000B7859" w:rsidP="00601374">
      <w:r>
        <w:t xml:space="preserve">The functionality would be applicable to One-off payments, One-off payments to multiple counterparties, Futured dated payments, Dynamic future dated payments, Recurring payments, Dynamic recurring </w:t>
      </w:r>
      <w:r w:rsidR="008155E2">
        <w:t>payments,</w:t>
      </w:r>
      <w:r>
        <w:t xml:space="preserve"> and </w:t>
      </w:r>
      <w:r w:rsidR="00405181">
        <w:t>Personal Finance Management (</w:t>
      </w:r>
      <w:r>
        <w:t>P</w:t>
      </w:r>
      <w:r w:rsidRPr="000B7859">
        <w:t>FM</w:t>
      </w:r>
      <w:r w:rsidR="00405181">
        <w:t>)</w:t>
      </w:r>
      <w:r w:rsidRPr="000B7859">
        <w:t xml:space="preserve"> automated transfers</w:t>
      </w:r>
      <w:r w:rsidR="00F438E2">
        <w:t xml:space="preserve"> -</w:t>
      </w:r>
      <w:r w:rsidR="00C63F64">
        <w:t xml:space="preserve"> </w:t>
      </w:r>
      <w:r w:rsidR="00F438E2">
        <w:t>in particular when settled as instant payments</w:t>
      </w:r>
      <w:r w:rsidR="00C63F64">
        <w:t>.</w:t>
      </w:r>
      <w:r w:rsidR="00104BB2">
        <w:t xml:space="preserve"> Each</w:t>
      </w:r>
      <w:r w:rsidR="0041222B">
        <w:t xml:space="preserve"> </w:t>
      </w:r>
      <w:r w:rsidR="00C63F64">
        <w:t>afore</w:t>
      </w:r>
      <w:r w:rsidR="0041222B">
        <w:t>mentioned</w:t>
      </w:r>
      <w:r w:rsidR="00104BB2">
        <w:t xml:space="preserve"> transactional asset is described in the SPAA Scheme Rulebook. </w:t>
      </w:r>
      <w:r w:rsidR="00444386">
        <w:br/>
      </w:r>
    </w:p>
    <w:p w14:paraId="2A339E71" w14:textId="77777777" w:rsidR="00601374" w:rsidRDefault="00E90FC2" w:rsidP="00601374">
      <w:pPr>
        <w:pStyle w:val="HEADINGBULLET"/>
      </w:pPr>
      <w:r>
        <w:lastRenderedPageBreak/>
        <w:t>SPAA MSG m</w:t>
      </w:r>
      <w:r w:rsidR="00517E06">
        <w:t>embers</w:t>
      </w:r>
      <w:r w:rsidR="009567B2">
        <w:t>’</w:t>
      </w:r>
      <w:r w:rsidR="00517E06">
        <w:t xml:space="preserve"> considerations</w:t>
      </w:r>
    </w:p>
    <w:p w14:paraId="19521006" w14:textId="77777777" w:rsidR="00517E06" w:rsidRDefault="005C2A6D" w:rsidP="00517E06">
      <w:r>
        <w:t>In evaluating the functionality, the members of the SPAA MSG formulated the following considerations</w:t>
      </w:r>
      <w:r w:rsidR="00796CD0">
        <w:t>:</w:t>
      </w:r>
    </w:p>
    <w:p w14:paraId="7C3D67C7" w14:textId="54502B28" w:rsidR="005C2A6D" w:rsidRDefault="002F73E3" w:rsidP="00796CD0">
      <w:pPr>
        <w:pStyle w:val="ListParagraph"/>
        <w:numPr>
          <w:ilvl w:val="0"/>
          <w:numId w:val="33"/>
        </w:numPr>
      </w:pPr>
      <w:r>
        <w:t>O</w:t>
      </w:r>
      <w:r w:rsidR="00D178DF">
        <w:t xml:space="preserve">n one side, </w:t>
      </w:r>
      <w:r w:rsidR="00EE0D44">
        <w:t xml:space="preserve">from a business perspective </w:t>
      </w:r>
      <w:r w:rsidR="00D178DF">
        <w:t xml:space="preserve">the functionality is considered </w:t>
      </w:r>
      <w:r w:rsidR="00C764A3">
        <w:t xml:space="preserve">a </w:t>
      </w:r>
      <w:r w:rsidR="00D178DF">
        <w:t xml:space="preserve">critical </w:t>
      </w:r>
      <w:r w:rsidR="0008274C">
        <w:t>f</w:t>
      </w:r>
      <w:r w:rsidR="00C764A3">
        <w:t>ea</w:t>
      </w:r>
      <w:r w:rsidR="0008274C">
        <w:t>t</w:t>
      </w:r>
      <w:r w:rsidR="00C764A3">
        <w:t xml:space="preserve">ure </w:t>
      </w:r>
      <w:r w:rsidR="00D178DF">
        <w:t>for Asset Brokers</w:t>
      </w:r>
      <w:r w:rsidR="00C764A3">
        <w:t>,</w:t>
      </w:r>
      <w:r w:rsidR="00C764A3" w:rsidRPr="00C764A3">
        <w:t xml:space="preserve"> </w:t>
      </w:r>
      <w:r w:rsidR="00C764A3">
        <w:t xml:space="preserve">in view of </w:t>
      </w:r>
      <w:r w:rsidR="00FD3F7A">
        <w:t xml:space="preserve">the possibility that </w:t>
      </w:r>
      <w:r w:rsidR="00C764A3">
        <w:t xml:space="preserve">Asset Holders </w:t>
      </w:r>
      <w:r w:rsidR="00FD3F7A">
        <w:t xml:space="preserve">could </w:t>
      </w:r>
      <w:r w:rsidR="00C764A3">
        <w:t>charg</w:t>
      </w:r>
      <w:r w:rsidR="00FD3F7A">
        <w:t xml:space="preserve">e </w:t>
      </w:r>
      <w:r w:rsidR="00C764A3">
        <w:t>transaction fees</w:t>
      </w:r>
      <w:r w:rsidR="00FD3F7A">
        <w:t xml:space="preserve">. The functionality would allow the </w:t>
      </w:r>
      <w:r w:rsidR="00A4547F">
        <w:t xml:space="preserve">SPAA Scheme to </w:t>
      </w:r>
      <w:r w:rsidR="00650CC9">
        <w:t xml:space="preserve">successfully </w:t>
      </w:r>
      <w:r w:rsidR="00045099">
        <w:t xml:space="preserve">facilitate the relevant underlying </w:t>
      </w:r>
      <w:r>
        <w:t xml:space="preserve">payment </w:t>
      </w:r>
      <w:r w:rsidR="00045099">
        <w:t>use cases</w:t>
      </w:r>
      <w:r w:rsidR="00C764A3">
        <w:t xml:space="preserve"> for the customers of these Asset Holders</w:t>
      </w:r>
      <w:r w:rsidR="00D21CF9">
        <w:t>.</w:t>
      </w:r>
      <w:r w:rsidR="00C764A3">
        <w:t xml:space="preserve"> </w:t>
      </w:r>
      <w:r w:rsidR="00796CD0">
        <w:br/>
      </w:r>
    </w:p>
    <w:p w14:paraId="5AC346EF" w14:textId="153F634B" w:rsidR="007A178F" w:rsidRDefault="00045099" w:rsidP="00796CD0">
      <w:pPr>
        <w:pStyle w:val="ListParagraph"/>
        <w:numPr>
          <w:ilvl w:val="0"/>
          <w:numId w:val="33"/>
        </w:numPr>
      </w:pPr>
      <w:r>
        <w:t>O</w:t>
      </w:r>
      <w:r w:rsidR="00A4547F">
        <w:t xml:space="preserve">n the other side, </w:t>
      </w:r>
      <w:r w:rsidR="002F73E3">
        <w:t xml:space="preserve">based on a preliminary EPC assessment, it appears that </w:t>
      </w:r>
      <w:r w:rsidR="00A4547F">
        <w:t>the functionalit</w:t>
      </w:r>
      <w:r w:rsidR="0008274C">
        <w:t>y</w:t>
      </w:r>
      <w:r w:rsidR="00AB2DCB">
        <w:t xml:space="preserve"> may</w:t>
      </w:r>
      <w:r w:rsidR="00A4547F">
        <w:t xml:space="preserve"> </w:t>
      </w:r>
      <w:r w:rsidR="00650CC9">
        <w:t>need to be</w:t>
      </w:r>
      <w:r w:rsidR="00A4547F">
        <w:t xml:space="preserve"> further analysed from a legal</w:t>
      </w:r>
      <w:r w:rsidR="00035F87">
        <w:t xml:space="preserve">, </w:t>
      </w:r>
      <w:r w:rsidR="00CE2885">
        <w:t>operational, technical</w:t>
      </w:r>
      <w:r w:rsidR="00094BF9">
        <w:t xml:space="preserve"> </w:t>
      </w:r>
      <w:r w:rsidR="00A4547F">
        <w:t>and</w:t>
      </w:r>
      <w:r>
        <w:t xml:space="preserve"> </w:t>
      </w:r>
      <w:r w:rsidR="00CE2885">
        <w:t>commercial</w:t>
      </w:r>
      <w:r>
        <w:t xml:space="preserve"> point of view, </w:t>
      </w:r>
      <w:r w:rsidR="002F73E3">
        <w:t>be</w:t>
      </w:r>
      <w:r>
        <w:t>for</w:t>
      </w:r>
      <w:r w:rsidR="002F73E3">
        <w:t>e</w:t>
      </w:r>
      <w:r>
        <w:t xml:space="preserve"> the Dataset </w:t>
      </w:r>
      <w:r w:rsidR="00405181">
        <w:t xml:space="preserve">(see Annex I) </w:t>
      </w:r>
      <w:r w:rsidR="002F73E3">
        <w:t>could</w:t>
      </w:r>
      <w:r>
        <w:t xml:space="preserve"> </w:t>
      </w:r>
      <w:r w:rsidR="00035F87">
        <w:t xml:space="preserve">possibly </w:t>
      </w:r>
      <w:r>
        <w:t xml:space="preserve">be included in the SPAA Scheme Rulebook. </w:t>
      </w:r>
      <w:r w:rsidR="00D21CF9">
        <w:br/>
      </w:r>
    </w:p>
    <w:p w14:paraId="10853297" w14:textId="77777777" w:rsidR="00517E06" w:rsidRDefault="007A178F" w:rsidP="007A178F">
      <w:pPr>
        <w:pStyle w:val="HEADINGBULLET"/>
      </w:pPr>
      <w:r>
        <w:t>Request for input and evaluation</w:t>
      </w:r>
    </w:p>
    <w:p w14:paraId="60F296AE" w14:textId="77777777" w:rsidR="00463D31" w:rsidRDefault="00463D31" w:rsidP="00463D31">
      <w:r w:rsidRPr="00463D31">
        <w:t xml:space="preserve">The </w:t>
      </w:r>
      <w:r>
        <w:t>interested parties are</w:t>
      </w:r>
      <w:r w:rsidRPr="00463D31">
        <w:t xml:space="preserve"> requested to give an </w:t>
      </w:r>
      <w:r>
        <w:t>exhaustive</w:t>
      </w:r>
      <w:r w:rsidRPr="00463D31">
        <w:t xml:space="preserve"> answer to each of the</w:t>
      </w:r>
      <w:r w:rsidR="002F73E3">
        <w:t xml:space="preserve"> following</w:t>
      </w:r>
      <w:r w:rsidRPr="00463D31">
        <w:t xml:space="preserve"> questions</w:t>
      </w:r>
      <w:r>
        <w:t xml:space="preserve">, </w:t>
      </w:r>
      <w:r w:rsidRPr="00463D31">
        <w:t xml:space="preserve">to </w:t>
      </w:r>
      <w:r w:rsidR="002F73E3">
        <w:t>help</w:t>
      </w:r>
      <w:r w:rsidRPr="00463D31">
        <w:t xml:space="preserve"> the EPC make a </w:t>
      </w:r>
      <w:r w:rsidR="002F73E3">
        <w:t xml:space="preserve">more thorough </w:t>
      </w:r>
      <w:r w:rsidRPr="00463D31">
        <w:t>evaluation of th</w:t>
      </w:r>
      <w:r w:rsidR="002F73E3">
        <w:t>is</w:t>
      </w:r>
      <w:r w:rsidRPr="00463D31">
        <w:t xml:space="preserve"> </w:t>
      </w:r>
      <w:r w:rsidR="002F73E3">
        <w:t>possible</w:t>
      </w:r>
      <w:r>
        <w:t xml:space="preserve"> functionality. </w:t>
      </w:r>
    </w:p>
    <w:tbl>
      <w:tblPr>
        <w:tblW w:w="9705" w:type="dxa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"/>
        <w:gridCol w:w="4571"/>
        <w:gridCol w:w="4748"/>
      </w:tblGrid>
      <w:tr w:rsidR="005D0A70" w:rsidRPr="00463D31" w14:paraId="798CED28" w14:textId="77777777" w:rsidTr="005D0A70">
        <w:trPr>
          <w:trHeight w:val="1327"/>
          <w:tblHeader/>
        </w:trPr>
        <w:tc>
          <w:tcPr>
            <w:tcW w:w="386" w:type="dxa"/>
          </w:tcPr>
          <w:p w14:paraId="17E911B6" w14:textId="679F0F36" w:rsidR="005D0A70" w:rsidRDefault="005D0A70" w:rsidP="00463D31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>1.</w:t>
            </w:r>
          </w:p>
        </w:tc>
        <w:tc>
          <w:tcPr>
            <w:tcW w:w="4571" w:type="dxa"/>
            <w:tcMar>
              <w:left w:w="28" w:type="dxa"/>
              <w:right w:w="28" w:type="dxa"/>
            </w:tcMar>
          </w:tcPr>
          <w:p w14:paraId="558B8A85" w14:textId="7D78A1EE" w:rsidR="005D0A70" w:rsidRDefault="005D0A70" w:rsidP="00463D31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>Do you agree that for certain use cases e.g. e-commerce or point of sale (POS) payments, a mechanism should be included whereby a transaction fee per payment is not borne by the Payer?</w:t>
            </w:r>
          </w:p>
        </w:tc>
        <w:tc>
          <w:tcPr>
            <w:tcW w:w="4748" w:type="dxa"/>
          </w:tcPr>
          <w:p w14:paraId="654DED13" w14:textId="77777777" w:rsidR="005D0A70" w:rsidRPr="00463D31" w:rsidRDefault="005D0A70" w:rsidP="00463D31">
            <w:pPr>
              <w:spacing w:before="60" w:after="60"/>
              <w:rPr>
                <w:rFonts w:ascii="Calibri" w:hAnsi="Calibri" w:cs="Times New Roman"/>
                <w:b/>
                <w:color w:val="1F497D"/>
                <w:szCs w:val="22"/>
              </w:rPr>
            </w:pPr>
          </w:p>
        </w:tc>
      </w:tr>
      <w:tr w:rsidR="005D0A70" w:rsidRPr="00463D31" w14:paraId="49A760BF" w14:textId="77777777" w:rsidTr="005D0A70">
        <w:trPr>
          <w:trHeight w:val="725"/>
          <w:tblHeader/>
        </w:trPr>
        <w:tc>
          <w:tcPr>
            <w:tcW w:w="386" w:type="dxa"/>
          </w:tcPr>
          <w:p w14:paraId="7171C120" w14:textId="0CDF5B5B" w:rsidR="005D0A70" w:rsidRPr="00463D31" w:rsidRDefault="005D0A70" w:rsidP="00463D31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>2.</w:t>
            </w:r>
          </w:p>
        </w:tc>
        <w:tc>
          <w:tcPr>
            <w:tcW w:w="4571" w:type="dxa"/>
            <w:tcMar>
              <w:left w:w="28" w:type="dxa"/>
              <w:right w:w="28" w:type="dxa"/>
            </w:tcMar>
          </w:tcPr>
          <w:p w14:paraId="2E731004" w14:textId="63593C78" w:rsidR="005D0A70" w:rsidRDefault="005D0A70" w:rsidP="00463D31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 w:rsidRPr="00463D31">
              <w:rPr>
                <w:rFonts w:ascii="Calibri" w:hAnsi="Calibri" w:cs="Times New Roman"/>
                <w:szCs w:val="22"/>
              </w:rPr>
              <w:t xml:space="preserve">Do you consider that </w:t>
            </w:r>
            <w:r>
              <w:rPr>
                <w:rFonts w:ascii="Calibri" w:hAnsi="Calibri" w:cs="Times New Roman"/>
                <w:szCs w:val="22"/>
              </w:rPr>
              <w:t>such</w:t>
            </w:r>
            <w:r w:rsidRPr="00463D31">
              <w:rPr>
                <w:rFonts w:ascii="Calibri" w:hAnsi="Calibri" w:cs="Times New Roman"/>
                <w:szCs w:val="22"/>
              </w:rPr>
              <w:t xml:space="preserve"> </w:t>
            </w:r>
            <w:r>
              <w:rPr>
                <w:rFonts w:ascii="Calibri" w:hAnsi="Calibri" w:cs="Times New Roman"/>
                <w:szCs w:val="22"/>
              </w:rPr>
              <w:t>functionality</w:t>
            </w:r>
            <w:r w:rsidRPr="00463D31">
              <w:rPr>
                <w:rFonts w:ascii="Calibri" w:hAnsi="Calibri" w:cs="Times New Roman"/>
                <w:szCs w:val="22"/>
              </w:rPr>
              <w:t xml:space="preserve"> </w:t>
            </w:r>
            <w:r>
              <w:rPr>
                <w:rFonts w:ascii="Calibri" w:hAnsi="Calibri" w:cs="Times New Roman"/>
                <w:szCs w:val="22"/>
              </w:rPr>
              <w:t>should be</w:t>
            </w:r>
            <w:r w:rsidRPr="00463D31">
              <w:rPr>
                <w:rFonts w:ascii="Calibri" w:hAnsi="Calibri" w:cs="Times New Roman"/>
                <w:szCs w:val="22"/>
              </w:rPr>
              <w:t xml:space="preserve"> in the scope</w:t>
            </w:r>
            <w:r>
              <w:rPr>
                <w:rFonts w:ascii="Calibri" w:hAnsi="Calibri" w:cs="Times New Roman"/>
                <w:szCs w:val="22"/>
              </w:rPr>
              <w:t xml:space="preserve"> of the SPAA scheme?</w:t>
            </w:r>
            <w:r w:rsidRPr="00463D31">
              <w:rPr>
                <w:rFonts w:ascii="Calibri" w:hAnsi="Calibri" w:cs="Times New Roman"/>
                <w:szCs w:val="22"/>
              </w:rPr>
              <w:t xml:space="preserve"> </w:t>
            </w:r>
            <w:r>
              <w:rPr>
                <w:rFonts w:ascii="Calibri" w:hAnsi="Calibri" w:cs="Times New Roman"/>
                <w:szCs w:val="22"/>
              </w:rPr>
              <w:t xml:space="preserve"> </w:t>
            </w:r>
          </w:p>
        </w:tc>
        <w:tc>
          <w:tcPr>
            <w:tcW w:w="4748" w:type="dxa"/>
          </w:tcPr>
          <w:p w14:paraId="0F3A464B" w14:textId="77777777" w:rsidR="005D0A70" w:rsidRDefault="005D0A70" w:rsidP="00463D31">
            <w:pPr>
              <w:spacing w:before="60" w:after="60"/>
              <w:rPr>
                <w:rFonts w:ascii="Calibri" w:hAnsi="Calibri" w:cs="Times New Roman"/>
                <w:b/>
                <w:color w:val="1F497D"/>
                <w:szCs w:val="22"/>
              </w:rPr>
            </w:pPr>
          </w:p>
        </w:tc>
      </w:tr>
      <w:tr w:rsidR="005D0A70" w:rsidRPr="00463D31" w14:paraId="1FFA12B1" w14:textId="77777777" w:rsidTr="005D0A70">
        <w:trPr>
          <w:trHeight w:val="1311"/>
          <w:tblHeader/>
        </w:trPr>
        <w:tc>
          <w:tcPr>
            <w:tcW w:w="386" w:type="dxa"/>
          </w:tcPr>
          <w:p w14:paraId="1F6537DB" w14:textId="41B3B993" w:rsidR="005D0A70" w:rsidRDefault="005D0A70" w:rsidP="00463D31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>3.</w:t>
            </w:r>
          </w:p>
        </w:tc>
        <w:tc>
          <w:tcPr>
            <w:tcW w:w="4571" w:type="dxa"/>
            <w:tcMar>
              <w:left w:w="28" w:type="dxa"/>
              <w:right w:w="28" w:type="dxa"/>
            </w:tcMar>
          </w:tcPr>
          <w:p w14:paraId="35374D63" w14:textId="340ADA4B" w:rsidR="005D0A70" w:rsidRDefault="005D0A70" w:rsidP="00463D31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>Do you agree that the proposed mechanism (see Annex 1) is appropriate, or would you recommend another mechanism or see a need to complement the proposed one?</w:t>
            </w:r>
          </w:p>
        </w:tc>
        <w:tc>
          <w:tcPr>
            <w:tcW w:w="4748" w:type="dxa"/>
          </w:tcPr>
          <w:p w14:paraId="25A0AC2D" w14:textId="77777777" w:rsidR="005D0A70" w:rsidRPr="00463D31" w:rsidRDefault="005D0A70" w:rsidP="00463D31">
            <w:pPr>
              <w:spacing w:before="60" w:after="60"/>
              <w:rPr>
                <w:rFonts w:ascii="Calibri" w:hAnsi="Calibri" w:cs="Times New Roman"/>
                <w:b/>
                <w:color w:val="1F497D"/>
                <w:szCs w:val="22"/>
              </w:rPr>
            </w:pPr>
            <w:r>
              <w:rPr>
                <w:rFonts w:ascii="Calibri" w:hAnsi="Calibri" w:cs="Times New Roman"/>
                <w:b/>
                <w:color w:val="1F497D"/>
                <w:szCs w:val="22"/>
              </w:rPr>
              <w:t xml:space="preserve"> </w:t>
            </w:r>
          </w:p>
        </w:tc>
      </w:tr>
      <w:tr w:rsidR="005D0A70" w:rsidRPr="00463D31" w14:paraId="56A1EAF5" w14:textId="77777777" w:rsidTr="005D0A70">
        <w:trPr>
          <w:trHeight w:val="1034"/>
          <w:tblHeader/>
        </w:trPr>
        <w:tc>
          <w:tcPr>
            <w:tcW w:w="386" w:type="dxa"/>
          </w:tcPr>
          <w:p w14:paraId="25770A4C" w14:textId="6E4F776C" w:rsidR="005D0A70" w:rsidRPr="0081293E" w:rsidRDefault="005D0A70" w:rsidP="003D7790">
            <w:pPr>
              <w:spacing w:before="60" w:after="60"/>
            </w:pPr>
            <w:r>
              <w:t>4.</w:t>
            </w:r>
          </w:p>
        </w:tc>
        <w:tc>
          <w:tcPr>
            <w:tcW w:w="4571" w:type="dxa"/>
            <w:tcMar>
              <w:left w:w="28" w:type="dxa"/>
              <w:right w:w="28" w:type="dxa"/>
            </w:tcMar>
          </w:tcPr>
          <w:p w14:paraId="2A983AAE" w14:textId="091C806A" w:rsidR="005D0A70" w:rsidRDefault="005D0A70" w:rsidP="003D7790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 w:rsidRPr="0081293E">
              <w:t>Do you consider that the implementation of the functionality is in scope of the SPAA</w:t>
            </w:r>
            <w:r>
              <w:t xml:space="preserve"> scheme</w:t>
            </w:r>
            <w:r w:rsidRPr="0081293E">
              <w:t>? If yes, under what conditions?</w:t>
            </w:r>
          </w:p>
        </w:tc>
        <w:tc>
          <w:tcPr>
            <w:tcW w:w="4748" w:type="dxa"/>
          </w:tcPr>
          <w:p w14:paraId="2D0FEA72" w14:textId="77777777" w:rsidR="005D0A70" w:rsidRPr="00463D31" w:rsidRDefault="005D0A70" w:rsidP="003D7790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5D0A70" w:rsidRPr="00463D31" w14:paraId="2D206613" w14:textId="77777777" w:rsidTr="005D0A70">
        <w:trPr>
          <w:trHeight w:val="1018"/>
          <w:tblHeader/>
        </w:trPr>
        <w:tc>
          <w:tcPr>
            <w:tcW w:w="386" w:type="dxa"/>
          </w:tcPr>
          <w:p w14:paraId="4BAB54CA" w14:textId="55B84D0F" w:rsidR="005D0A70" w:rsidRPr="0081293E" w:rsidRDefault="005D0A70" w:rsidP="003D7790">
            <w:pPr>
              <w:spacing w:before="60" w:after="60"/>
            </w:pPr>
            <w:r>
              <w:t>5.</w:t>
            </w:r>
          </w:p>
        </w:tc>
        <w:tc>
          <w:tcPr>
            <w:tcW w:w="4571" w:type="dxa"/>
            <w:tcMar>
              <w:left w:w="28" w:type="dxa"/>
              <w:right w:w="28" w:type="dxa"/>
            </w:tcMar>
          </w:tcPr>
          <w:p w14:paraId="5E34109B" w14:textId="62D2CA64" w:rsidR="005D0A70" w:rsidRDefault="005D0A70" w:rsidP="003D7790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 w:rsidRPr="0081293E">
              <w:t>Do you consider that the implementation of  the functionality is legally feasible? If yes, under what conditions?</w:t>
            </w:r>
          </w:p>
        </w:tc>
        <w:tc>
          <w:tcPr>
            <w:tcW w:w="4748" w:type="dxa"/>
          </w:tcPr>
          <w:p w14:paraId="0E6E00C6" w14:textId="77777777" w:rsidR="005D0A70" w:rsidRPr="00463D31" w:rsidRDefault="005D0A70" w:rsidP="003D7790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5D0A70" w:rsidRPr="00463D31" w14:paraId="7E038DE4" w14:textId="77777777" w:rsidTr="005D0A70">
        <w:trPr>
          <w:trHeight w:val="1018"/>
          <w:tblHeader/>
        </w:trPr>
        <w:tc>
          <w:tcPr>
            <w:tcW w:w="386" w:type="dxa"/>
          </w:tcPr>
          <w:p w14:paraId="73E267DE" w14:textId="02134D50" w:rsidR="005D0A70" w:rsidRPr="0081293E" w:rsidRDefault="005D0A70" w:rsidP="003D7790">
            <w:pPr>
              <w:spacing w:before="60" w:after="60"/>
            </w:pPr>
            <w:r>
              <w:t>6.</w:t>
            </w:r>
          </w:p>
        </w:tc>
        <w:tc>
          <w:tcPr>
            <w:tcW w:w="4571" w:type="dxa"/>
            <w:tcMar>
              <w:left w:w="28" w:type="dxa"/>
              <w:right w:w="28" w:type="dxa"/>
            </w:tcMar>
          </w:tcPr>
          <w:p w14:paraId="0EE28143" w14:textId="06E0A9E5" w:rsidR="005D0A70" w:rsidRDefault="005D0A70" w:rsidP="003D7790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 w:rsidRPr="0081293E">
              <w:t xml:space="preserve">Do you consider that the implementation of the functionality is operationally </w:t>
            </w:r>
            <w:r>
              <w:t xml:space="preserve">/ </w:t>
            </w:r>
            <w:r w:rsidRPr="0081293E">
              <w:t>technically feasible? If yes, under what conditions?</w:t>
            </w:r>
          </w:p>
        </w:tc>
        <w:tc>
          <w:tcPr>
            <w:tcW w:w="4748" w:type="dxa"/>
          </w:tcPr>
          <w:p w14:paraId="2285B1D2" w14:textId="77777777" w:rsidR="005D0A70" w:rsidRPr="00463D31" w:rsidRDefault="005D0A70" w:rsidP="003D7790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5D0A70" w:rsidRPr="00463D31" w14:paraId="4196FD4C" w14:textId="77777777" w:rsidTr="005D0A70">
        <w:trPr>
          <w:trHeight w:val="1018"/>
          <w:tblHeader/>
        </w:trPr>
        <w:tc>
          <w:tcPr>
            <w:tcW w:w="386" w:type="dxa"/>
          </w:tcPr>
          <w:p w14:paraId="5197D5E9" w14:textId="7184A171" w:rsidR="005D0A70" w:rsidRPr="0081293E" w:rsidRDefault="005D0A70" w:rsidP="003D7790">
            <w:pPr>
              <w:spacing w:before="60" w:after="60"/>
            </w:pPr>
            <w:r>
              <w:t>7.</w:t>
            </w:r>
          </w:p>
        </w:tc>
        <w:tc>
          <w:tcPr>
            <w:tcW w:w="4571" w:type="dxa"/>
            <w:tcMar>
              <w:left w:w="28" w:type="dxa"/>
              <w:right w:w="28" w:type="dxa"/>
            </w:tcMar>
          </w:tcPr>
          <w:p w14:paraId="5DE5D304" w14:textId="4FB799E5" w:rsidR="005D0A70" w:rsidRDefault="005D0A70" w:rsidP="003D7790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 w:rsidRPr="0081293E">
              <w:t>Do you consider that the implementation of the functionality is commercially feasible? If yes, under what conditions?</w:t>
            </w:r>
          </w:p>
        </w:tc>
        <w:tc>
          <w:tcPr>
            <w:tcW w:w="4748" w:type="dxa"/>
          </w:tcPr>
          <w:p w14:paraId="54DD1C64" w14:textId="77777777" w:rsidR="005D0A70" w:rsidRPr="00463D31" w:rsidRDefault="005D0A70" w:rsidP="003D7790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  <w:tr w:rsidR="005D0A70" w:rsidRPr="00463D31" w14:paraId="07091E81" w14:textId="77777777" w:rsidTr="005D0A70">
        <w:trPr>
          <w:trHeight w:val="416"/>
          <w:tblHeader/>
        </w:trPr>
        <w:tc>
          <w:tcPr>
            <w:tcW w:w="386" w:type="dxa"/>
          </w:tcPr>
          <w:p w14:paraId="2509033B" w14:textId="2A4D216D" w:rsidR="005D0A70" w:rsidRDefault="005D0A70" w:rsidP="00463D31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>8.</w:t>
            </w:r>
          </w:p>
        </w:tc>
        <w:tc>
          <w:tcPr>
            <w:tcW w:w="4571" w:type="dxa"/>
            <w:tcMar>
              <w:left w:w="28" w:type="dxa"/>
              <w:right w:w="28" w:type="dxa"/>
            </w:tcMar>
          </w:tcPr>
          <w:p w14:paraId="371FA64B" w14:textId="4DFADA21" w:rsidR="005D0A70" w:rsidRPr="00463D31" w:rsidRDefault="005D0A70" w:rsidP="00463D31">
            <w:pPr>
              <w:spacing w:before="60" w:after="60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>Other?</w:t>
            </w:r>
          </w:p>
        </w:tc>
        <w:tc>
          <w:tcPr>
            <w:tcW w:w="4748" w:type="dxa"/>
          </w:tcPr>
          <w:p w14:paraId="543B6E73" w14:textId="77777777" w:rsidR="005D0A70" w:rsidRPr="00463D31" w:rsidRDefault="005D0A70" w:rsidP="00463D31">
            <w:pPr>
              <w:spacing w:before="60" w:after="60"/>
              <w:rPr>
                <w:rFonts w:ascii="Calibri" w:hAnsi="Calibri" w:cs="Times New Roman"/>
              </w:rPr>
            </w:pPr>
          </w:p>
        </w:tc>
      </w:tr>
    </w:tbl>
    <w:p w14:paraId="03E3DD7C" w14:textId="77777777" w:rsidR="00463D31" w:rsidRDefault="00463D31" w:rsidP="00463D31"/>
    <w:p w14:paraId="57B48E60" w14:textId="02327E8A" w:rsidR="008D4BA4" w:rsidRDefault="008D4BA4">
      <w:pPr>
        <w:spacing w:after="0"/>
      </w:pPr>
    </w:p>
    <w:p w14:paraId="44C6D8C9" w14:textId="30CB3E36" w:rsidR="00463D31" w:rsidRPr="001E2944" w:rsidRDefault="008D4BA4" w:rsidP="00463D31">
      <w:pPr>
        <w:rPr>
          <w:b/>
          <w:bCs/>
        </w:rPr>
      </w:pPr>
      <w:r w:rsidRPr="00580909">
        <w:rPr>
          <w:b/>
          <w:bCs/>
        </w:rPr>
        <w:t>Annex I</w:t>
      </w:r>
      <w:r w:rsidR="00CB749C" w:rsidRPr="00580909">
        <w:rPr>
          <w:b/>
          <w:bCs/>
        </w:rPr>
        <w:t xml:space="preserve"> </w:t>
      </w:r>
      <w:r w:rsidRPr="00580909">
        <w:rPr>
          <w:b/>
          <w:bCs/>
        </w:rPr>
        <w:t xml:space="preserve">: </w:t>
      </w:r>
      <w:r w:rsidR="00CB749C">
        <w:rPr>
          <w:b/>
          <w:bCs/>
        </w:rPr>
        <w:t xml:space="preserve">Open topic: </w:t>
      </w:r>
      <w:r w:rsidR="00CB0557" w:rsidRPr="00CB0557">
        <w:rPr>
          <w:b/>
          <w:bCs/>
        </w:rPr>
        <w:t>DS-P06 Mechanism to request a payment with transaction fees not borne by the Payer</w:t>
      </w: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93"/>
        <w:gridCol w:w="7938"/>
      </w:tblGrid>
      <w:tr w:rsidR="008D4BA4" w:rsidRPr="00A146C5" w14:paraId="4EA8B199" w14:textId="77777777" w:rsidTr="001803FA">
        <w:trPr>
          <w:cantSplit/>
          <w:tblHeader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8EE" w:themeFill="text2" w:themeFillTint="33"/>
          </w:tcPr>
          <w:p w14:paraId="1B775DAE" w14:textId="77777777" w:rsidR="008D4BA4" w:rsidRPr="00A146C5" w:rsidRDefault="008D4BA4" w:rsidP="001803FA">
            <w:pPr>
              <w:rPr>
                <w:b/>
              </w:rPr>
            </w:pPr>
            <w:r w:rsidRPr="00A146C5">
              <w:rPr>
                <w:b/>
              </w:rPr>
              <w:t>Identification: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8EE" w:themeFill="text2" w:themeFillTint="33"/>
          </w:tcPr>
          <w:p w14:paraId="4D519AB3" w14:textId="41F995E3" w:rsidR="008D4BA4" w:rsidRPr="00A146C5" w:rsidRDefault="008D4BA4" w:rsidP="001803FA">
            <w:r w:rsidRPr="00A146C5">
              <w:rPr>
                <w:b/>
              </w:rPr>
              <w:t>DS-P0</w:t>
            </w:r>
            <w:r w:rsidR="00CB749C">
              <w:rPr>
                <w:b/>
              </w:rPr>
              <w:t>6</w:t>
            </w:r>
          </w:p>
        </w:tc>
      </w:tr>
      <w:tr w:rsidR="008D4BA4" w:rsidRPr="00A146C5" w14:paraId="2D1618A1" w14:textId="77777777" w:rsidTr="001803FA">
        <w:trPr>
          <w:cantSplit/>
          <w:tblHeader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8EE" w:themeFill="text2" w:themeFillTint="33"/>
          </w:tcPr>
          <w:p w14:paraId="38B21BFD" w14:textId="77777777" w:rsidR="008D4BA4" w:rsidRPr="00A146C5" w:rsidRDefault="008D4BA4" w:rsidP="001803FA">
            <w:pPr>
              <w:rPr>
                <w:b/>
              </w:rPr>
            </w:pPr>
            <w:r w:rsidRPr="00A146C5">
              <w:rPr>
                <w:b/>
              </w:rPr>
              <w:t>Name: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8EE" w:themeFill="text2" w:themeFillTint="33"/>
          </w:tcPr>
          <w:p w14:paraId="23E897D9" w14:textId="2A0A5085" w:rsidR="008D4BA4" w:rsidRPr="009D0F98" w:rsidRDefault="00CB749C" w:rsidP="001803FA">
            <w:pPr>
              <w:rPr>
                <w:b/>
              </w:rPr>
            </w:pPr>
            <w:r>
              <w:rPr>
                <w:b/>
                <w:bCs/>
              </w:rPr>
              <w:t>Mechanism to r</w:t>
            </w:r>
            <w:r w:rsidR="008D4BA4" w:rsidRPr="005231DB">
              <w:rPr>
                <w:b/>
                <w:bCs/>
              </w:rPr>
              <w:t>equest a payment with transaction fees not borne by the Payer</w:t>
            </w:r>
          </w:p>
        </w:tc>
      </w:tr>
      <w:tr w:rsidR="008D4BA4" w:rsidRPr="00A146C5" w14:paraId="7EF89289" w14:textId="77777777" w:rsidTr="001803FA">
        <w:trPr>
          <w:trHeight w:val="76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8EE" w:themeFill="text2" w:themeFillTint="33"/>
          </w:tcPr>
          <w:p w14:paraId="43BBA630" w14:textId="77777777" w:rsidR="008D4BA4" w:rsidRPr="00A146C5" w:rsidRDefault="008D4BA4" w:rsidP="001803FA">
            <w:pPr>
              <w:rPr>
                <w:b/>
              </w:rPr>
            </w:pPr>
            <w:r w:rsidRPr="00A146C5">
              <w:rPr>
                <w:b/>
              </w:rPr>
              <w:t>Description: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6724" w14:textId="68BFC6D8" w:rsidR="008D4BA4" w:rsidRPr="00A146C5" w:rsidRDefault="008D4BA4" w:rsidP="001803FA">
            <w:r w:rsidRPr="00A146C5">
              <w:t>This Dataset describes the minimum API attribute requirements related to the</w:t>
            </w:r>
            <w:r w:rsidR="00CB749C">
              <w:t xml:space="preserve"> mechanism to</w:t>
            </w:r>
            <w:r w:rsidRPr="00A146C5">
              <w:t xml:space="preserve"> request a payment with transaction fees not borne by the Payer.</w:t>
            </w:r>
          </w:p>
        </w:tc>
      </w:tr>
      <w:tr w:rsidR="008D4BA4" w:rsidRPr="00A146C5" w14:paraId="217D25AC" w14:textId="77777777" w:rsidTr="001803F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8EE" w:themeFill="text2" w:themeFillTint="33"/>
          </w:tcPr>
          <w:p w14:paraId="211A9665" w14:textId="77777777" w:rsidR="008D4BA4" w:rsidRPr="00A146C5" w:rsidRDefault="008D4BA4" w:rsidP="001803FA">
            <w:pPr>
              <w:rPr>
                <w:b/>
              </w:rPr>
            </w:pPr>
            <w:r w:rsidRPr="00A146C5">
              <w:rPr>
                <w:b/>
              </w:rPr>
              <w:t>Attributes contained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67A7" w14:textId="77777777" w:rsidR="008D4BA4" w:rsidRPr="00A146C5" w:rsidRDefault="008D4BA4" w:rsidP="008D4BA4">
            <w:pPr>
              <w:pStyle w:val="NormalIndent"/>
              <w:numPr>
                <w:ilvl w:val="0"/>
                <w:numId w:val="34"/>
              </w:numPr>
              <w:spacing w:before="60" w:after="0"/>
            </w:pPr>
            <w:r w:rsidRPr="00A146C5">
              <w:rPr>
                <w:rFonts w:asciiTheme="minorHAnsi" w:hAnsiTheme="minorHAnsi"/>
              </w:rPr>
              <w:t>AT-A023 Request for a payment with transaction fees not borne by the Payer (M)</w:t>
            </w:r>
          </w:p>
        </w:tc>
      </w:tr>
      <w:tr w:rsidR="008D4BA4" w:rsidRPr="00A146C5" w14:paraId="71ADD535" w14:textId="77777777" w:rsidTr="001803F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D8EE" w:themeFill="text2" w:themeFillTint="33"/>
          </w:tcPr>
          <w:p w14:paraId="591AED35" w14:textId="77777777" w:rsidR="008D4BA4" w:rsidRPr="00A146C5" w:rsidRDefault="008D4BA4" w:rsidP="001803FA">
            <w:pPr>
              <w:rPr>
                <w:b/>
              </w:rPr>
            </w:pPr>
            <w:r w:rsidRPr="00A146C5">
              <w:rPr>
                <w:b/>
              </w:rPr>
              <w:t>Rules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D28" w14:textId="77777777" w:rsidR="008D4BA4" w:rsidRPr="00A146C5" w:rsidRDefault="008D4BA4" w:rsidP="001803FA">
            <w:pPr>
              <w:pStyle w:val="NormalIndent"/>
              <w:spacing w:before="60" w:after="0"/>
              <w:ind w:left="0"/>
              <w:rPr>
                <w:rFonts w:asciiTheme="minorHAnsi" w:hAnsiTheme="minorHAnsi"/>
              </w:rPr>
            </w:pPr>
            <w:r w:rsidRPr="00A146C5">
              <w:rPr>
                <w:rFonts w:asciiTheme="minorHAnsi" w:hAnsiTheme="minorHAnsi"/>
              </w:rPr>
              <w:t>Applicable to the following transactional assets:</w:t>
            </w:r>
          </w:p>
          <w:p w14:paraId="33390EBE" w14:textId="77777777" w:rsidR="008D4BA4" w:rsidRPr="00A146C5" w:rsidRDefault="008D4BA4" w:rsidP="008D4BA4">
            <w:pPr>
              <w:pStyle w:val="ListofParagraph-"/>
              <w:spacing w:before="120"/>
            </w:pPr>
            <w:r w:rsidRPr="00A146C5">
              <w:t>One-off payments</w:t>
            </w:r>
          </w:p>
          <w:p w14:paraId="2EF76890" w14:textId="77777777" w:rsidR="008D4BA4" w:rsidRPr="00A146C5" w:rsidRDefault="008D4BA4" w:rsidP="008D4BA4">
            <w:pPr>
              <w:pStyle w:val="ListofParagraph-"/>
              <w:spacing w:before="120"/>
            </w:pPr>
            <w:r w:rsidRPr="00A146C5">
              <w:t xml:space="preserve">One-off payments to multiple counterparties </w:t>
            </w:r>
          </w:p>
          <w:p w14:paraId="64733879" w14:textId="77777777" w:rsidR="008D4BA4" w:rsidRPr="00A146C5" w:rsidRDefault="008D4BA4" w:rsidP="008D4BA4">
            <w:pPr>
              <w:pStyle w:val="ListofParagraph-"/>
              <w:spacing w:before="120"/>
            </w:pPr>
            <w:r w:rsidRPr="00A146C5">
              <w:t>Futured dated payments</w:t>
            </w:r>
          </w:p>
          <w:p w14:paraId="334A63D5" w14:textId="77777777" w:rsidR="008D4BA4" w:rsidRPr="00A146C5" w:rsidRDefault="008D4BA4" w:rsidP="008D4BA4">
            <w:pPr>
              <w:pStyle w:val="ListofParagraph-"/>
              <w:spacing w:before="120"/>
            </w:pPr>
            <w:r w:rsidRPr="00A146C5">
              <w:t>Dynamic future dated payments</w:t>
            </w:r>
          </w:p>
          <w:p w14:paraId="47E4AF1B" w14:textId="77777777" w:rsidR="008D4BA4" w:rsidRPr="00A146C5" w:rsidRDefault="008D4BA4" w:rsidP="008D4BA4">
            <w:pPr>
              <w:pStyle w:val="ListofParagraph-"/>
              <w:spacing w:before="120"/>
            </w:pPr>
            <w:r w:rsidRPr="00A146C5">
              <w:t xml:space="preserve">Recurring payments </w:t>
            </w:r>
          </w:p>
          <w:p w14:paraId="2B1E78A6" w14:textId="77777777" w:rsidR="008D4BA4" w:rsidRPr="00A146C5" w:rsidRDefault="008D4BA4" w:rsidP="008D4BA4">
            <w:pPr>
              <w:pStyle w:val="ListofParagraph-"/>
              <w:spacing w:before="120"/>
            </w:pPr>
            <w:r w:rsidRPr="00A146C5">
              <w:t>Dynamic recurring payments</w:t>
            </w:r>
          </w:p>
          <w:p w14:paraId="4B0749FA" w14:textId="77777777" w:rsidR="008D4BA4" w:rsidRPr="00A146C5" w:rsidRDefault="008D4BA4" w:rsidP="008D4BA4">
            <w:pPr>
              <w:pStyle w:val="ListofParagraph-"/>
              <w:spacing w:before="120"/>
            </w:pPr>
            <w:r w:rsidRPr="00A146C5">
              <w:t>PFM automated transfers</w:t>
            </w:r>
          </w:p>
        </w:tc>
      </w:tr>
    </w:tbl>
    <w:p w14:paraId="34D946D8" w14:textId="77777777" w:rsidR="007A178F" w:rsidRDefault="007A178F" w:rsidP="007A178F"/>
    <w:p w14:paraId="453858EC" w14:textId="77777777" w:rsidR="00032796" w:rsidRPr="007A178F" w:rsidRDefault="00032796" w:rsidP="007A178F"/>
    <w:sectPr w:rsidR="00032796" w:rsidRPr="007A178F" w:rsidSect="0049388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560" w:right="1134" w:bottom="993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8E97F" w14:textId="77777777" w:rsidR="00DC7766" w:rsidRDefault="00DC7766" w:rsidP="005D65B4">
      <w:r>
        <w:separator/>
      </w:r>
    </w:p>
  </w:endnote>
  <w:endnote w:type="continuationSeparator" w:id="0">
    <w:p w14:paraId="152B8986" w14:textId="77777777" w:rsidR="00DC7766" w:rsidRDefault="00DC7766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4"/>
      <w:gridCol w:w="5315"/>
    </w:tblGrid>
    <w:tr w:rsidR="00275C88" w:rsidRPr="002770E7" w14:paraId="3F2C4D6C" w14:textId="77777777" w:rsidTr="0049388E">
      <w:trPr>
        <w:trHeight w:val="291"/>
      </w:trPr>
      <w:tc>
        <w:tcPr>
          <w:tcW w:w="5034" w:type="dxa"/>
        </w:tcPr>
        <w:p w14:paraId="14DCBD5C" w14:textId="77777777" w:rsidR="00275C88" w:rsidRPr="002770E7" w:rsidRDefault="00275C88" w:rsidP="0049388E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5315" w:type="dxa"/>
        </w:tcPr>
        <w:p w14:paraId="73592D50" w14:textId="77777777" w:rsidR="00275C88" w:rsidRPr="002770E7" w:rsidRDefault="00275C88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</w:tbl>
  <w:p w14:paraId="21A30FB6" w14:textId="77777777" w:rsidR="00275C88" w:rsidRPr="0049388E" w:rsidRDefault="00275C88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4"/>
      <w:gridCol w:w="5034"/>
    </w:tblGrid>
    <w:tr w:rsidR="00275C88" w:rsidRPr="002770E7" w14:paraId="5B98260B" w14:textId="77777777" w:rsidTr="00751FF7">
      <w:trPr>
        <w:trHeight w:val="291"/>
      </w:trPr>
      <w:tc>
        <w:tcPr>
          <w:tcW w:w="5034" w:type="dxa"/>
        </w:tcPr>
        <w:p w14:paraId="6B686590" w14:textId="77777777" w:rsidR="00275C88" w:rsidRPr="002770E7" w:rsidRDefault="00275C88" w:rsidP="00751FF7">
          <w:pPr>
            <w:pStyle w:val="Footer"/>
            <w:rPr>
              <w:rFonts w:ascii="Calibri" w:hAnsi="Calibri"/>
              <w:b/>
              <w:sz w:val="18"/>
              <w:szCs w:val="18"/>
            </w:rPr>
          </w:pPr>
          <w:r w:rsidRPr="005B3815">
            <w:rPr>
              <w:rFonts w:ascii="Calibri" w:hAnsi="Calibri"/>
              <w:b/>
              <w:sz w:val="18"/>
              <w:szCs w:val="18"/>
            </w:rPr>
            <w:t>www.epc-cep.eu</w:t>
          </w:r>
        </w:p>
      </w:tc>
      <w:tc>
        <w:tcPr>
          <w:tcW w:w="5034" w:type="dxa"/>
        </w:tcPr>
        <w:p w14:paraId="1F0D4837" w14:textId="77777777" w:rsidR="00275C88" w:rsidRPr="002770E7" w:rsidRDefault="00275C88" w:rsidP="00751FF7">
          <w:pPr>
            <w:pStyle w:val="Footer"/>
            <w:jc w:val="right"/>
            <w:rPr>
              <w:rFonts w:ascii="Calibri" w:hAnsi="Calibri"/>
              <w:b/>
              <w:sz w:val="18"/>
              <w:szCs w:val="18"/>
            </w:rPr>
          </w:pP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PAGE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1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>
            <w:rPr>
              <w:rFonts w:ascii="Calibri" w:hAnsi="Calibri"/>
              <w:b/>
              <w:sz w:val="18"/>
              <w:szCs w:val="18"/>
            </w:rPr>
            <w:t>/</w:t>
          </w:r>
          <w:r w:rsidRPr="002770E7">
            <w:rPr>
              <w:rFonts w:ascii="Calibri" w:hAnsi="Calibri"/>
              <w:b/>
              <w:sz w:val="18"/>
              <w:szCs w:val="18"/>
            </w:rPr>
            <w:t xml:space="preserve"> 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begin"/>
          </w:r>
          <w:r w:rsidRPr="002770E7">
            <w:rPr>
              <w:rFonts w:ascii="Calibri" w:hAnsi="Calibri"/>
              <w:b/>
              <w:sz w:val="18"/>
              <w:szCs w:val="18"/>
            </w:rPr>
            <w:instrText xml:space="preserve"> NUMPAGES </w:instrTex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separate"/>
          </w:r>
          <w:r w:rsidR="00A85176">
            <w:rPr>
              <w:rFonts w:ascii="Calibri" w:hAnsi="Calibri"/>
              <w:b/>
              <w:noProof/>
              <w:sz w:val="18"/>
              <w:szCs w:val="18"/>
            </w:rPr>
            <w:t>2</w:t>
          </w:r>
          <w:r w:rsidRPr="002770E7">
            <w:rPr>
              <w:rFonts w:ascii="Calibri" w:hAnsi="Calibri"/>
              <w:b/>
              <w:sz w:val="18"/>
              <w:szCs w:val="18"/>
            </w:rPr>
            <w:fldChar w:fldCharType="end"/>
          </w:r>
        </w:p>
      </w:tc>
    </w:tr>
  </w:tbl>
  <w:p w14:paraId="76F85972" w14:textId="77777777" w:rsidR="00275C88" w:rsidRPr="00416A66" w:rsidRDefault="00275C88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8356C" w14:textId="77777777" w:rsidR="00DC7766" w:rsidRDefault="00DC7766" w:rsidP="005D65B4">
      <w:r>
        <w:separator/>
      </w:r>
    </w:p>
  </w:footnote>
  <w:footnote w:type="continuationSeparator" w:id="0">
    <w:p w14:paraId="1DB2B1C4" w14:textId="77777777" w:rsidR="00DC7766" w:rsidRDefault="00DC7766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B883" w14:textId="3BED9200" w:rsidR="00275C88" w:rsidRDefault="00F35BBC" w:rsidP="00A277B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1" locked="1" layoutInCell="1" allowOverlap="1" wp14:anchorId="710FFED2" wp14:editId="0DAFB175">
              <wp:simplePos x="0" y="0"/>
              <wp:positionH relativeFrom="column">
                <wp:posOffset>-3810</wp:posOffset>
              </wp:positionH>
              <wp:positionV relativeFrom="page">
                <wp:posOffset>190500</wp:posOffset>
              </wp:positionV>
              <wp:extent cx="4380865" cy="508635"/>
              <wp:effectExtent l="0" t="0" r="0" b="5715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086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1F69D" w14:textId="77777777" w:rsidR="00F35BBC" w:rsidRDefault="00045099" w:rsidP="00A277BE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123-</w:t>
                          </w:r>
                          <w:r w:rsidR="001A3788">
                            <w:rPr>
                              <w:b/>
                            </w:rPr>
                            <w:t>22</w:t>
                          </w:r>
                        </w:p>
                        <w:p w14:paraId="743EAD1C" w14:textId="3C9732F6" w:rsidR="0049388E" w:rsidRPr="00A277BE" w:rsidRDefault="003D7790" w:rsidP="00A277BE">
                          <w:pPr>
                            <w:spacing w:after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3 June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FFED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3pt;margin-top:15pt;width:344.95pt;height:40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" filled="f" stroked="f">
              <v:textbox>
                <w:txbxContent>
                  <w:p w14:paraId="2761F69D" w14:textId="77777777" w:rsidR="00F35BBC" w:rsidRDefault="00045099" w:rsidP="00A277BE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EPC 123-</w:t>
                    </w:r>
                    <w:r w:rsidR="001A3788">
                      <w:rPr>
                        <w:b/>
                      </w:rPr>
                      <w:t>22</w:t>
                    </w:r>
                  </w:p>
                  <w:p w14:paraId="743EAD1C" w14:textId="3C9732F6" w:rsidR="0049388E" w:rsidRPr="00A277BE" w:rsidRDefault="003D7790" w:rsidP="00A277BE">
                    <w:pPr>
                      <w:spacing w:after="0"/>
                      <w:rPr>
                        <w:bCs/>
                      </w:rPr>
                    </w:pPr>
                    <w:r>
                      <w:rPr>
                        <w:bCs/>
                      </w:rPr>
                      <w:t>3 June 2022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275C88"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28379006" wp14:editId="769D0AB2">
          <wp:simplePos x="0" y="0"/>
          <wp:positionH relativeFrom="column">
            <wp:posOffset>-842010</wp:posOffset>
          </wp:positionH>
          <wp:positionV relativeFrom="paragraph">
            <wp:posOffset>-462280</wp:posOffset>
          </wp:positionV>
          <wp:extent cx="7940675" cy="916940"/>
          <wp:effectExtent l="0" t="0" r="9525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940675" cy="916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C88"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01B04AAD" wp14:editId="632D73A3">
          <wp:simplePos x="0" y="0"/>
          <wp:positionH relativeFrom="column">
            <wp:posOffset>5373370</wp:posOffset>
          </wp:positionH>
          <wp:positionV relativeFrom="paragraph">
            <wp:posOffset>-233680</wp:posOffset>
          </wp:positionV>
          <wp:extent cx="870585" cy="46291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7CE4" w14:textId="4199B474" w:rsidR="00275C88" w:rsidRDefault="00E079EC" w:rsidP="00416A66">
    <w:pPr>
      <w:pStyle w:val="Header"/>
      <w:spacing w:after="26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CB2B7A" wp14:editId="1F4FAFC7">
              <wp:simplePos x="0" y="0"/>
              <wp:positionH relativeFrom="column">
                <wp:posOffset>-133985</wp:posOffset>
              </wp:positionH>
              <wp:positionV relativeFrom="paragraph">
                <wp:posOffset>-200660</wp:posOffset>
              </wp:positionV>
              <wp:extent cx="3475990" cy="1209675"/>
              <wp:effectExtent l="0" t="0" r="0" b="9525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5990" cy="1209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90ED225" w14:textId="77777777" w:rsidR="00F35BC3" w:rsidRPr="00E079EC" w:rsidRDefault="00B40239" w:rsidP="00D30B6C">
                          <w:pPr>
                            <w:spacing w:after="0"/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48"/>
                              <w:szCs w:val="48"/>
                            </w:rPr>
                          </w:pPr>
                          <w:r w:rsidRPr="00E079EC"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48"/>
                              <w:szCs w:val="48"/>
                            </w:rPr>
                            <w:t xml:space="preserve">SPAA </w:t>
                          </w:r>
                          <w:r w:rsidR="00B87F6B"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48"/>
                              <w:szCs w:val="48"/>
                            </w:rPr>
                            <w:t xml:space="preserve">Possible Additional </w:t>
                          </w:r>
                          <w:r w:rsidRPr="00E079EC"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48"/>
                              <w:szCs w:val="48"/>
                            </w:rPr>
                            <w:t xml:space="preserve"> </w:t>
                          </w:r>
                          <w:r w:rsidR="00E079EC"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48"/>
                              <w:szCs w:val="48"/>
                            </w:rPr>
                            <w:br/>
                          </w:r>
                          <w:r w:rsidR="00B87F6B"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48"/>
                              <w:szCs w:val="48"/>
                            </w:rPr>
                            <w:t>Functionality for</w:t>
                          </w:r>
                          <w:r w:rsidR="00E079EC" w:rsidRPr="00E079EC"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48"/>
                              <w:szCs w:val="48"/>
                            </w:rPr>
                            <w:t xml:space="preserve"> </w:t>
                          </w:r>
                          <w:r w:rsidRPr="00E079EC">
                            <w:rPr>
                              <w:rFonts w:ascii="Calibri" w:eastAsiaTheme="majorEastAsia" w:hAnsi="Calibri" w:cstheme="majorBidi"/>
                              <w:b/>
                              <w:noProof/>
                              <w:sz w:val="48"/>
                              <w:szCs w:val="48"/>
                            </w:rPr>
                            <w:t>Public Consultation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B2B7A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10.55pt;margin-top:-15.8pt;width:273.7pt;height:9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" filled="f" stroked="f">
              <v:textbox>
                <w:txbxContent>
                  <w:p w14:paraId="190ED225" w14:textId="77777777" w:rsidR="00F35BC3" w:rsidRPr="00E079EC" w:rsidRDefault="00B40239" w:rsidP="00D30B6C">
                    <w:pPr>
                      <w:spacing w:after="0"/>
                      <w:rPr>
                        <w:rFonts w:ascii="Calibri" w:eastAsiaTheme="majorEastAsia" w:hAnsi="Calibri" w:cstheme="majorBidi"/>
                        <w:b/>
                        <w:noProof/>
                        <w:sz w:val="48"/>
                        <w:szCs w:val="48"/>
                      </w:rPr>
                    </w:pPr>
                    <w:r w:rsidRPr="00E079EC">
                      <w:rPr>
                        <w:rFonts w:ascii="Calibri" w:eastAsiaTheme="majorEastAsia" w:hAnsi="Calibri" w:cstheme="majorBidi"/>
                        <w:b/>
                        <w:noProof/>
                        <w:sz w:val="48"/>
                        <w:szCs w:val="48"/>
                      </w:rPr>
                      <w:t xml:space="preserve">SPAA </w:t>
                    </w:r>
                    <w:r w:rsidR="00B87F6B">
                      <w:rPr>
                        <w:rFonts w:ascii="Calibri" w:eastAsiaTheme="majorEastAsia" w:hAnsi="Calibri" w:cstheme="majorBidi"/>
                        <w:b/>
                        <w:noProof/>
                        <w:sz w:val="48"/>
                        <w:szCs w:val="48"/>
                      </w:rPr>
                      <w:t xml:space="preserve">Possible Additional </w:t>
                    </w:r>
                    <w:r w:rsidRPr="00E079EC">
                      <w:rPr>
                        <w:rFonts w:ascii="Calibri" w:eastAsiaTheme="majorEastAsia" w:hAnsi="Calibri" w:cstheme="majorBidi"/>
                        <w:b/>
                        <w:noProof/>
                        <w:sz w:val="48"/>
                        <w:szCs w:val="48"/>
                      </w:rPr>
                      <w:t xml:space="preserve"> </w:t>
                    </w:r>
                    <w:r w:rsidR="00E079EC">
                      <w:rPr>
                        <w:rFonts w:ascii="Calibri" w:eastAsiaTheme="majorEastAsia" w:hAnsi="Calibri" w:cstheme="majorBidi"/>
                        <w:b/>
                        <w:noProof/>
                        <w:sz w:val="48"/>
                        <w:szCs w:val="48"/>
                      </w:rPr>
                      <w:br/>
                    </w:r>
                    <w:r w:rsidR="00B87F6B">
                      <w:rPr>
                        <w:rFonts w:ascii="Calibri" w:eastAsiaTheme="majorEastAsia" w:hAnsi="Calibri" w:cstheme="majorBidi"/>
                        <w:b/>
                        <w:noProof/>
                        <w:sz w:val="48"/>
                        <w:szCs w:val="48"/>
                      </w:rPr>
                      <w:t>Functionality for</w:t>
                    </w:r>
                    <w:r w:rsidR="00E079EC" w:rsidRPr="00E079EC">
                      <w:rPr>
                        <w:rFonts w:ascii="Calibri" w:eastAsiaTheme="majorEastAsia" w:hAnsi="Calibri" w:cstheme="majorBidi"/>
                        <w:b/>
                        <w:noProof/>
                        <w:sz w:val="48"/>
                        <w:szCs w:val="48"/>
                      </w:rPr>
                      <w:t xml:space="preserve"> </w:t>
                    </w:r>
                    <w:r w:rsidRPr="00E079EC">
                      <w:rPr>
                        <w:rFonts w:ascii="Calibri" w:eastAsiaTheme="majorEastAsia" w:hAnsi="Calibri" w:cstheme="majorBidi"/>
                        <w:b/>
                        <w:noProof/>
                        <w:sz w:val="48"/>
                        <w:szCs w:val="48"/>
                      </w:rPr>
                      <w:t>Public Consultation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F173192" wp14:editId="47D5846E">
              <wp:simplePos x="0" y="0"/>
              <wp:positionH relativeFrom="column">
                <wp:posOffset>-100965</wp:posOffset>
              </wp:positionH>
              <wp:positionV relativeFrom="paragraph">
                <wp:posOffset>1061085</wp:posOffset>
              </wp:positionV>
              <wp:extent cx="2980055" cy="676275"/>
              <wp:effectExtent l="0" t="0" r="0" b="952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005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0EE83" w14:textId="3BDBA4A1" w:rsidR="00275C88" w:rsidRPr="00C03408" w:rsidRDefault="00CE179A" w:rsidP="00D30B6C">
                          <w:pPr>
                            <w:spacing w:after="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</w:t>
                          </w:r>
                          <w:r w:rsidR="002D77EA">
                            <w:rPr>
                              <w:b/>
                            </w:rPr>
                            <w:t>123-22</w:t>
                          </w:r>
                        </w:p>
                        <w:p w14:paraId="42BAFD31" w14:textId="402D6CFC" w:rsidR="00275C88" w:rsidRPr="00C03408" w:rsidRDefault="00275C88" w:rsidP="00D30B6C">
                          <w:pPr>
                            <w:spacing w:after="0"/>
                            <w:rPr>
                              <w:b/>
                            </w:rPr>
                          </w:pPr>
                          <w:r w:rsidRPr="00C03408">
                            <w:rPr>
                              <w:b/>
                            </w:rPr>
                            <w:t xml:space="preserve">Version </w:t>
                          </w:r>
                          <w:r w:rsidR="003D7790">
                            <w:rPr>
                              <w:b/>
                            </w:rPr>
                            <w:t>1.0</w:t>
                          </w:r>
                        </w:p>
                        <w:p w14:paraId="1A902655" w14:textId="7DC2B8B2" w:rsidR="00275C88" w:rsidRPr="00090EEE" w:rsidRDefault="00275C88" w:rsidP="002D77EA">
                          <w:pPr>
                            <w:spacing w:after="0"/>
                            <w:rPr>
                              <w:b/>
                            </w:rPr>
                          </w:pPr>
                          <w:r w:rsidRPr="00C03408">
                            <w:rPr>
                              <w:b/>
                            </w:rPr>
                            <w:t xml:space="preserve">Date issued: </w:t>
                          </w:r>
                          <w:r w:rsidR="00660CDE">
                            <w:rPr>
                              <w:b/>
                            </w:rPr>
                            <w:t>3</w:t>
                          </w:r>
                          <w:r w:rsidR="003D7790">
                            <w:rPr>
                              <w:b/>
                            </w:rPr>
                            <w:t xml:space="preserve"> June</w:t>
                          </w:r>
                          <w:r w:rsidR="002D77EA">
                            <w:rPr>
                              <w:b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173192" id="Text Box 15" o:spid="_x0000_s1028" type="#_x0000_t202" style="position:absolute;margin-left:-7.95pt;margin-top:83.55pt;width:234.6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" filled="f" stroked="f">
              <v:textbox>
                <w:txbxContent>
                  <w:p w14:paraId="74B0EE83" w14:textId="3BDBA4A1" w:rsidR="00275C88" w:rsidRPr="00C03408" w:rsidRDefault="00CE179A" w:rsidP="00D30B6C">
                    <w:pPr>
                      <w:spacing w:after="0"/>
                      <w:rPr>
                        <w:b/>
                      </w:rPr>
                    </w:pPr>
                    <w:r>
                      <w:rPr>
                        <w:b/>
                      </w:rPr>
                      <w:t>EPC</w:t>
                    </w:r>
                    <w:r w:rsidR="002D77EA">
                      <w:rPr>
                        <w:b/>
                      </w:rPr>
                      <w:t>123-22</w:t>
                    </w:r>
                  </w:p>
                  <w:p w14:paraId="42BAFD31" w14:textId="402D6CFC" w:rsidR="00275C88" w:rsidRPr="00C03408" w:rsidRDefault="00275C88" w:rsidP="00D30B6C">
                    <w:pPr>
                      <w:spacing w:after="0"/>
                      <w:rPr>
                        <w:b/>
                      </w:rPr>
                    </w:pPr>
                    <w:r w:rsidRPr="00C03408">
                      <w:rPr>
                        <w:b/>
                      </w:rPr>
                      <w:t xml:space="preserve">Version </w:t>
                    </w:r>
                    <w:r w:rsidR="003D7790">
                      <w:rPr>
                        <w:b/>
                      </w:rPr>
                      <w:t>1.0</w:t>
                    </w:r>
                  </w:p>
                  <w:p w14:paraId="1A902655" w14:textId="7DC2B8B2" w:rsidR="00275C88" w:rsidRPr="00090EEE" w:rsidRDefault="00275C88" w:rsidP="002D77EA">
                    <w:pPr>
                      <w:spacing w:after="0"/>
                      <w:rPr>
                        <w:b/>
                      </w:rPr>
                    </w:pPr>
                    <w:r w:rsidRPr="00C03408">
                      <w:rPr>
                        <w:b/>
                      </w:rPr>
                      <w:t xml:space="preserve">Date issued: </w:t>
                    </w:r>
                    <w:r w:rsidR="00660CDE">
                      <w:rPr>
                        <w:b/>
                      </w:rPr>
                      <w:t>3</w:t>
                    </w:r>
                    <w:r w:rsidR="003D7790">
                      <w:rPr>
                        <w:b/>
                      </w:rPr>
                      <w:t xml:space="preserve"> June</w:t>
                    </w:r>
                    <w:r w:rsidR="002D77EA">
                      <w:rPr>
                        <w:b/>
                      </w:rP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 w:rsidR="006A3506">
      <w:rPr>
        <w:noProof/>
      </w:rPr>
      <w:drawing>
        <wp:anchor distT="0" distB="0" distL="114300" distR="114300" simplePos="0" relativeHeight="251684864" behindDoc="0" locked="1" layoutInCell="1" allowOverlap="1" wp14:anchorId="65465A5B" wp14:editId="57055290">
          <wp:simplePos x="0" y="0"/>
          <wp:positionH relativeFrom="column">
            <wp:posOffset>3341370</wp:posOffset>
          </wp:positionH>
          <wp:positionV relativeFrom="page">
            <wp:posOffset>365760</wp:posOffset>
          </wp:positionV>
          <wp:extent cx="3110400" cy="17388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400" cy="17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BC3">
      <w:rPr>
        <w:noProof/>
        <w:lang w:eastAsia="en-GB"/>
      </w:rPr>
      <w:drawing>
        <wp:anchor distT="0" distB="0" distL="114300" distR="114300" simplePos="0" relativeHeight="251674624" behindDoc="1" locked="0" layoutInCell="1" allowOverlap="1" wp14:anchorId="023D41AC" wp14:editId="030D116B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940675" cy="2631440"/>
          <wp:effectExtent l="0" t="0" r="9525" b="1016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940675" cy="2631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522E0" w14:textId="0D019B94" w:rsidR="00275C88" w:rsidRPr="00416A66" w:rsidRDefault="006B5F66">
    <w:pPr>
      <w:pStyle w:val="Header"/>
      <w:rPr>
        <w:color w:val="224571" w:themeColor="text2"/>
      </w:rPr>
    </w:pPr>
    <w:sdt>
      <w:sdtPr>
        <w:rPr>
          <w:rStyle w:val="Heading3Char"/>
        </w:rPr>
        <w:alias w:val="Type of document"/>
        <w:tag w:val="Type of document"/>
        <w:id w:val="-1787038963"/>
        <w15:color w:val="99CC00"/>
        <w:dropDownList>
          <w:listItem w:displayText="Public" w:value="Public"/>
          <w:listItem w:displayText="Internal Use" w:value="Internal Use"/>
          <w:listItem w:displayText="Confidential" w:value="Confidential"/>
          <w:listItem w:displayText="Strictest Confidence" w:value="Strictest Confidence"/>
        </w:dropDownList>
      </w:sdtPr>
      <w:sdtEndPr>
        <w:rPr>
          <w:rStyle w:val="DefaultParagraphFont"/>
          <w:rFonts w:asciiTheme="minorHAnsi" w:eastAsiaTheme="minorHAnsi" w:hAnsiTheme="minorHAnsi" w:cstheme="minorBidi"/>
          <w:b w:val="0"/>
          <w:color w:val="00AA96"/>
          <w:sz w:val="24"/>
        </w:rPr>
      </w:sdtEndPr>
      <w:sdtContent>
        <w:r>
          <w:rPr>
            <w:rStyle w:val="Heading3Char"/>
          </w:rPr>
          <w:t>Public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7E1"/>
    <w:multiLevelType w:val="hybridMultilevel"/>
    <w:tmpl w:val="20165108"/>
    <w:lvl w:ilvl="0" w:tplc="34D2B234">
      <w:start w:val="1"/>
      <w:numFmt w:val="bullet"/>
      <w:pStyle w:val="ListofParagraph-"/>
      <w:lvlText w:val=""/>
      <w:lvlJc w:val="left"/>
      <w:pPr>
        <w:ind w:left="1800" w:hanging="360"/>
      </w:pPr>
      <w:rPr>
        <w:rFonts w:ascii="Symbol" w:hAnsi="Symbol" w:hint="default"/>
        <w:color w:val="224571" w:themeColor="text2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853E82"/>
    <w:multiLevelType w:val="hybridMultilevel"/>
    <w:tmpl w:val="8202115C"/>
    <w:lvl w:ilvl="0" w:tplc="00CC07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006C"/>
    <w:multiLevelType w:val="hybridMultilevel"/>
    <w:tmpl w:val="B8B2009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E5E29"/>
    <w:multiLevelType w:val="multilevel"/>
    <w:tmpl w:val="B2202B2C"/>
    <w:lvl w:ilvl="0">
      <w:start w:val="1"/>
      <w:numFmt w:val="decimal"/>
      <w:pStyle w:val="HEADINGBULLET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4" w15:restartNumberingAfterBreak="0">
    <w:nsid w:val="18F81989"/>
    <w:multiLevelType w:val="multilevel"/>
    <w:tmpl w:val="E2D83D62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26B20"/>
    <w:multiLevelType w:val="multilevel"/>
    <w:tmpl w:val="3A6A5A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C172F86"/>
    <w:multiLevelType w:val="hybridMultilevel"/>
    <w:tmpl w:val="258E2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B7A9470">
      <w:start w:val="1"/>
      <w:numFmt w:val="lowerRoman"/>
      <w:pStyle w:val="NumberList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521D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C72C36"/>
    <w:multiLevelType w:val="multilevel"/>
    <w:tmpl w:val="BF329444"/>
    <w:lvl w:ilvl="0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06B7B"/>
    <w:multiLevelType w:val="multilevel"/>
    <w:tmpl w:val="1D0464E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90575"/>
    <w:multiLevelType w:val="hybridMultilevel"/>
    <w:tmpl w:val="3B7A4218"/>
    <w:lvl w:ilvl="0" w:tplc="F1B67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6D4C67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47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901DE"/>
    <w:multiLevelType w:val="hybridMultilevel"/>
    <w:tmpl w:val="F9165280"/>
    <w:lvl w:ilvl="0" w:tplc="9EACC5E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005C1"/>
    <w:multiLevelType w:val="hybridMultilevel"/>
    <w:tmpl w:val="AC5278DA"/>
    <w:lvl w:ilvl="0" w:tplc="BF106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13D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2A60AE"/>
    <w:multiLevelType w:val="multilevel"/>
    <w:tmpl w:val="84089E0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009CB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487277DB"/>
    <w:multiLevelType w:val="multilevel"/>
    <w:tmpl w:val="97F88D5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78ACC" w:themeColor="text2" w:themeTint="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A399E"/>
    <w:multiLevelType w:val="hybridMultilevel"/>
    <w:tmpl w:val="2E5ABCAE"/>
    <w:lvl w:ilvl="0" w:tplc="680E38BA">
      <w:start w:val="1"/>
      <w:numFmt w:val="bullet"/>
      <w:pStyle w:val="Secondlevel"/>
      <w:lvlText w:val=""/>
      <w:lvlJc w:val="left"/>
      <w:pPr>
        <w:ind w:left="2160" w:hanging="360"/>
      </w:pPr>
      <w:rPr>
        <w:rFonts w:ascii="Symbol" w:hAnsi="Symbol" w:hint="default"/>
        <w:color w:val="578ACC" w:themeColor="tex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3F04A0"/>
    <w:multiLevelType w:val="multilevel"/>
    <w:tmpl w:val="2B56CD1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009CB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9CB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009CB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009CB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20" w15:restartNumberingAfterBreak="0">
    <w:nsid w:val="51E44C15"/>
    <w:multiLevelType w:val="hybridMultilevel"/>
    <w:tmpl w:val="F0824AD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44478"/>
    <w:multiLevelType w:val="multilevel"/>
    <w:tmpl w:val="7E6C6ABA"/>
    <w:lvl w:ilvl="0">
      <w:start w:val="1"/>
      <w:numFmt w:val="decimal"/>
      <w:suff w:val="space"/>
      <w:lvlText w:val="%1"/>
      <w:lvlJc w:val="left"/>
      <w:pPr>
        <w:ind w:left="510" w:hanging="510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FDCE6D" w:themeColor="accent2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FDCE6D" w:themeColor="accent2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FDCE6D" w:themeColor="accent2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FDCE6D" w:themeColor="accent2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FDCE6D" w:themeColor="accent2"/>
      </w:rPr>
    </w:lvl>
  </w:abstractNum>
  <w:abstractNum w:abstractNumId="22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2BD3E22"/>
    <w:multiLevelType w:val="hybridMultilevel"/>
    <w:tmpl w:val="F14CAA96"/>
    <w:lvl w:ilvl="0" w:tplc="CE0ACAF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A8C8B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36589"/>
    <w:multiLevelType w:val="hybridMultilevel"/>
    <w:tmpl w:val="1D20B182"/>
    <w:lvl w:ilvl="0" w:tplc="6098449A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  <w:sz w:val="24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9CF3BB3"/>
    <w:multiLevelType w:val="hybridMultilevel"/>
    <w:tmpl w:val="C0C60076"/>
    <w:lvl w:ilvl="0" w:tplc="45E6ED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D0F5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19359092">
    <w:abstractNumId w:val="11"/>
  </w:num>
  <w:num w:numId="2" w16cid:durableId="1353219716">
    <w:abstractNumId w:val="22"/>
  </w:num>
  <w:num w:numId="3" w16cid:durableId="2039814153">
    <w:abstractNumId w:val="6"/>
  </w:num>
  <w:num w:numId="4" w16cid:durableId="375392884">
    <w:abstractNumId w:val="3"/>
  </w:num>
  <w:num w:numId="5" w16cid:durableId="300887274">
    <w:abstractNumId w:val="3"/>
  </w:num>
  <w:num w:numId="6" w16cid:durableId="1171336797">
    <w:abstractNumId w:val="3"/>
  </w:num>
  <w:num w:numId="7" w16cid:durableId="877358620">
    <w:abstractNumId w:val="3"/>
  </w:num>
  <w:num w:numId="8" w16cid:durableId="1794858332">
    <w:abstractNumId w:val="15"/>
  </w:num>
  <w:num w:numId="9" w16cid:durableId="1159925785">
    <w:abstractNumId w:val="3"/>
  </w:num>
  <w:num w:numId="10" w16cid:durableId="522403446">
    <w:abstractNumId w:val="3"/>
  </w:num>
  <w:num w:numId="11" w16cid:durableId="1918126029">
    <w:abstractNumId w:val="3"/>
  </w:num>
  <w:num w:numId="12" w16cid:durableId="1823547128">
    <w:abstractNumId w:val="19"/>
  </w:num>
  <w:num w:numId="13" w16cid:durableId="566111539">
    <w:abstractNumId w:val="19"/>
  </w:num>
  <w:num w:numId="14" w16cid:durableId="183373946">
    <w:abstractNumId w:val="2"/>
  </w:num>
  <w:num w:numId="15" w16cid:durableId="459298700">
    <w:abstractNumId w:val="14"/>
  </w:num>
  <w:num w:numId="16" w16cid:durableId="517476035">
    <w:abstractNumId w:val="8"/>
  </w:num>
  <w:num w:numId="17" w16cid:durableId="1673920871">
    <w:abstractNumId w:val="4"/>
  </w:num>
  <w:num w:numId="18" w16cid:durableId="1722436972">
    <w:abstractNumId w:val="9"/>
  </w:num>
  <w:num w:numId="19" w16cid:durableId="1545364628">
    <w:abstractNumId w:val="10"/>
  </w:num>
  <w:num w:numId="20" w16cid:durableId="1943298768">
    <w:abstractNumId w:val="16"/>
  </w:num>
  <w:num w:numId="21" w16cid:durableId="1655724038">
    <w:abstractNumId w:val="5"/>
  </w:num>
  <w:num w:numId="22" w16cid:durableId="887378230">
    <w:abstractNumId w:val="17"/>
  </w:num>
  <w:num w:numId="23" w16cid:durableId="1689142667">
    <w:abstractNumId w:val="26"/>
  </w:num>
  <w:num w:numId="24" w16cid:durableId="1205600557">
    <w:abstractNumId w:val="7"/>
  </w:num>
  <w:num w:numId="25" w16cid:durableId="349337487">
    <w:abstractNumId w:val="18"/>
  </w:num>
  <w:num w:numId="26" w16cid:durableId="1176110358">
    <w:abstractNumId w:val="24"/>
  </w:num>
  <w:num w:numId="27" w16cid:durableId="1527596417">
    <w:abstractNumId w:val="21"/>
  </w:num>
  <w:num w:numId="28" w16cid:durableId="1163744495">
    <w:abstractNumId w:val="23"/>
  </w:num>
  <w:num w:numId="29" w16cid:durableId="687877394">
    <w:abstractNumId w:val="0"/>
  </w:num>
  <w:num w:numId="30" w16cid:durableId="1294751935">
    <w:abstractNumId w:val="25"/>
  </w:num>
  <w:num w:numId="31" w16cid:durableId="1638149501">
    <w:abstractNumId w:val="13"/>
  </w:num>
  <w:num w:numId="32" w16cid:durableId="838545098">
    <w:abstractNumId w:val="12"/>
  </w:num>
  <w:num w:numId="33" w16cid:durableId="208150917">
    <w:abstractNumId w:val="1"/>
  </w:num>
  <w:num w:numId="34" w16cid:durableId="590932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124"/>
    <w:rsid w:val="00016787"/>
    <w:rsid w:val="00032796"/>
    <w:rsid w:val="00035F87"/>
    <w:rsid w:val="00045099"/>
    <w:rsid w:val="000630D2"/>
    <w:rsid w:val="0008274C"/>
    <w:rsid w:val="00084EDD"/>
    <w:rsid w:val="00090EEE"/>
    <w:rsid w:val="00094BF9"/>
    <w:rsid w:val="000B5EDB"/>
    <w:rsid w:val="000B7859"/>
    <w:rsid w:val="000C1DC0"/>
    <w:rsid w:val="000F55F7"/>
    <w:rsid w:val="00104BB2"/>
    <w:rsid w:val="00106A57"/>
    <w:rsid w:val="00127260"/>
    <w:rsid w:val="00143742"/>
    <w:rsid w:val="00152B64"/>
    <w:rsid w:val="0015474F"/>
    <w:rsid w:val="00191A08"/>
    <w:rsid w:val="001A3678"/>
    <w:rsid w:val="001A3788"/>
    <w:rsid w:val="001E2944"/>
    <w:rsid w:val="001E7C22"/>
    <w:rsid w:val="001F0C67"/>
    <w:rsid w:val="001F546A"/>
    <w:rsid w:val="002127F0"/>
    <w:rsid w:val="00242B42"/>
    <w:rsid w:val="00251C97"/>
    <w:rsid w:val="00275C88"/>
    <w:rsid w:val="002770E7"/>
    <w:rsid w:val="00296125"/>
    <w:rsid w:val="002D77EA"/>
    <w:rsid w:val="002F6A98"/>
    <w:rsid w:val="002F73E3"/>
    <w:rsid w:val="003070DE"/>
    <w:rsid w:val="003120FE"/>
    <w:rsid w:val="003149CC"/>
    <w:rsid w:val="00316258"/>
    <w:rsid w:val="00320B64"/>
    <w:rsid w:val="0032243B"/>
    <w:rsid w:val="0036690E"/>
    <w:rsid w:val="00371935"/>
    <w:rsid w:val="00376066"/>
    <w:rsid w:val="003948FD"/>
    <w:rsid w:val="003A1A80"/>
    <w:rsid w:val="003A4AD3"/>
    <w:rsid w:val="003B7B3F"/>
    <w:rsid w:val="003D4124"/>
    <w:rsid w:val="003D7790"/>
    <w:rsid w:val="003D794C"/>
    <w:rsid w:val="003D7A34"/>
    <w:rsid w:val="003E7314"/>
    <w:rsid w:val="00405181"/>
    <w:rsid w:val="00411753"/>
    <w:rsid w:val="0041222B"/>
    <w:rsid w:val="00416A66"/>
    <w:rsid w:val="00444386"/>
    <w:rsid w:val="00463D31"/>
    <w:rsid w:val="00466A5E"/>
    <w:rsid w:val="00485E1D"/>
    <w:rsid w:val="004907E2"/>
    <w:rsid w:val="00492878"/>
    <w:rsid w:val="0049388E"/>
    <w:rsid w:val="004E4B81"/>
    <w:rsid w:val="004F61BC"/>
    <w:rsid w:val="00517E06"/>
    <w:rsid w:val="00543017"/>
    <w:rsid w:val="00555750"/>
    <w:rsid w:val="00567C0A"/>
    <w:rsid w:val="00573999"/>
    <w:rsid w:val="0057450E"/>
    <w:rsid w:val="00576B36"/>
    <w:rsid w:val="005772E2"/>
    <w:rsid w:val="00580909"/>
    <w:rsid w:val="005A104C"/>
    <w:rsid w:val="005A32A3"/>
    <w:rsid w:val="005C2A6D"/>
    <w:rsid w:val="005C6C74"/>
    <w:rsid w:val="005D0A70"/>
    <w:rsid w:val="005D22D7"/>
    <w:rsid w:val="005D3D7A"/>
    <w:rsid w:val="005D65B4"/>
    <w:rsid w:val="005F2BAB"/>
    <w:rsid w:val="005F697D"/>
    <w:rsid w:val="00601374"/>
    <w:rsid w:val="00602A73"/>
    <w:rsid w:val="00637A62"/>
    <w:rsid w:val="0064155D"/>
    <w:rsid w:val="00650CC9"/>
    <w:rsid w:val="006536BA"/>
    <w:rsid w:val="00660CDE"/>
    <w:rsid w:val="00661046"/>
    <w:rsid w:val="006A3506"/>
    <w:rsid w:val="006A5891"/>
    <w:rsid w:val="006B2316"/>
    <w:rsid w:val="006B2F86"/>
    <w:rsid w:val="006B5F66"/>
    <w:rsid w:val="006C3B75"/>
    <w:rsid w:val="006E1A29"/>
    <w:rsid w:val="00702044"/>
    <w:rsid w:val="007244A3"/>
    <w:rsid w:val="00736E52"/>
    <w:rsid w:val="007518DF"/>
    <w:rsid w:val="00774577"/>
    <w:rsid w:val="00776352"/>
    <w:rsid w:val="00783858"/>
    <w:rsid w:val="00786D35"/>
    <w:rsid w:val="00794BA1"/>
    <w:rsid w:val="00796CD0"/>
    <w:rsid w:val="007A178F"/>
    <w:rsid w:val="007C0B7F"/>
    <w:rsid w:val="007D7843"/>
    <w:rsid w:val="007E0E5D"/>
    <w:rsid w:val="007F1E68"/>
    <w:rsid w:val="007F2C92"/>
    <w:rsid w:val="007F6421"/>
    <w:rsid w:val="00804BD3"/>
    <w:rsid w:val="0081041E"/>
    <w:rsid w:val="008155E2"/>
    <w:rsid w:val="008267EE"/>
    <w:rsid w:val="00855A40"/>
    <w:rsid w:val="0085653B"/>
    <w:rsid w:val="008862CA"/>
    <w:rsid w:val="008C50A0"/>
    <w:rsid w:val="008C527B"/>
    <w:rsid w:val="008D4BA4"/>
    <w:rsid w:val="008D76D7"/>
    <w:rsid w:val="008F0F68"/>
    <w:rsid w:val="008F5F30"/>
    <w:rsid w:val="00902083"/>
    <w:rsid w:val="009107A3"/>
    <w:rsid w:val="0093236D"/>
    <w:rsid w:val="009418DE"/>
    <w:rsid w:val="00941DDD"/>
    <w:rsid w:val="009439DA"/>
    <w:rsid w:val="009567B2"/>
    <w:rsid w:val="009A0A00"/>
    <w:rsid w:val="009B1518"/>
    <w:rsid w:val="009D4EB2"/>
    <w:rsid w:val="009E004C"/>
    <w:rsid w:val="009F1AAC"/>
    <w:rsid w:val="009F1E30"/>
    <w:rsid w:val="009F6663"/>
    <w:rsid w:val="009F6DFB"/>
    <w:rsid w:val="00A10926"/>
    <w:rsid w:val="00A277BE"/>
    <w:rsid w:val="00A4547F"/>
    <w:rsid w:val="00A7202C"/>
    <w:rsid w:val="00A74F88"/>
    <w:rsid w:val="00A85176"/>
    <w:rsid w:val="00A86A77"/>
    <w:rsid w:val="00AB2DCB"/>
    <w:rsid w:val="00AC603F"/>
    <w:rsid w:val="00AD089A"/>
    <w:rsid w:val="00B40239"/>
    <w:rsid w:val="00B439A0"/>
    <w:rsid w:val="00B64B23"/>
    <w:rsid w:val="00B73704"/>
    <w:rsid w:val="00B81847"/>
    <w:rsid w:val="00B87F6B"/>
    <w:rsid w:val="00BA59B3"/>
    <w:rsid w:val="00BB025F"/>
    <w:rsid w:val="00BB2B0A"/>
    <w:rsid w:val="00BD5958"/>
    <w:rsid w:val="00BE75D8"/>
    <w:rsid w:val="00C03408"/>
    <w:rsid w:val="00C24661"/>
    <w:rsid w:val="00C361AA"/>
    <w:rsid w:val="00C46F83"/>
    <w:rsid w:val="00C55A9D"/>
    <w:rsid w:val="00C63F64"/>
    <w:rsid w:val="00C6473C"/>
    <w:rsid w:val="00C764A3"/>
    <w:rsid w:val="00C96E53"/>
    <w:rsid w:val="00CB0557"/>
    <w:rsid w:val="00CB749C"/>
    <w:rsid w:val="00CB75A5"/>
    <w:rsid w:val="00CC7559"/>
    <w:rsid w:val="00CE179A"/>
    <w:rsid w:val="00CE2885"/>
    <w:rsid w:val="00CF556B"/>
    <w:rsid w:val="00D178DF"/>
    <w:rsid w:val="00D21CF9"/>
    <w:rsid w:val="00D2785E"/>
    <w:rsid w:val="00D30B6C"/>
    <w:rsid w:val="00D361F9"/>
    <w:rsid w:val="00D52ECA"/>
    <w:rsid w:val="00D54A1B"/>
    <w:rsid w:val="00D71AA0"/>
    <w:rsid w:val="00D858B7"/>
    <w:rsid w:val="00DA4061"/>
    <w:rsid w:val="00DB069D"/>
    <w:rsid w:val="00DB7A65"/>
    <w:rsid w:val="00DC749C"/>
    <w:rsid w:val="00DC7766"/>
    <w:rsid w:val="00E01CAD"/>
    <w:rsid w:val="00E079EC"/>
    <w:rsid w:val="00E10E24"/>
    <w:rsid w:val="00E14AE1"/>
    <w:rsid w:val="00E218CF"/>
    <w:rsid w:val="00E36526"/>
    <w:rsid w:val="00E90FC2"/>
    <w:rsid w:val="00EB2724"/>
    <w:rsid w:val="00EC57B5"/>
    <w:rsid w:val="00ED6A8E"/>
    <w:rsid w:val="00EE0D44"/>
    <w:rsid w:val="00F172C6"/>
    <w:rsid w:val="00F21D9A"/>
    <w:rsid w:val="00F2745B"/>
    <w:rsid w:val="00F31E6C"/>
    <w:rsid w:val="00F35BBC"/>
    <w:rsid w:val="00F35BC3"/>
    <w:rsid w:val="00F438E2"/>
    <w:rsid w:val="00F518DB"/>
    <w:rsid w:val="00F751F0"/>
    <w:rsid w:val="00F820DC"/>
    <w:rsid w:val="00FC5B84"/>
    <w:rsid w:val="00FD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4827"/>
  <w14:defaultImageDpi w14:val="32767"/>
  <w15:chartTrackingRefBased/>
  <w15:docId w15:val="{4747E487-3ABF-4E7E-B128-61B8DD28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B6C"/>
    <w:pPr>
      <w:spacing w:after="120"/>
    </w:pPr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7C0B7F"/>
    <w:pPr>
      <w:keepNext/>
      <w:keepLines/>
      <w:spacing w:before="240"/>
      <w:outlineLvl w:val="0"/>
    </w:pPr>
    <w:rPr>
      <w:rFonts w:ascii="Calibri" w:eastAsiaTheme="majorEastAsia" w:hAnsi="Calibri" w:cstheme="majorBidi"/>
      <w:b/>
      <w:noProof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7E0E5D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366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F7865" w:themeColor="accent5"/>
      <w:sz w:val="28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B81847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724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qFormat/>
    <w:rsid w:val="00BE75D8"/>
    <w:pPr>
      <w:numPr>
        <w:numId w:val="26"/>
      </w:numPr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 w:cs="Times New Roman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B81847"/>
    <w:rPr>
      <w:rFonts w:eastAsiaTheme="minorEastAsia"/>
      <w:b/>
      <w:bCs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2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3"/>
      </w:numPr>
    </w:pPr>
  </w:style>
  <w:style w:type="paragraph" w:customStyle="1" w:styleId="BulletList">
    <w:name w:val="Bullet List"/>
    <w:basedOn w:val="NumberList"/>
    <w:autoRedefine/>
    <w:qFormat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E14AE1"/>
    <w:pPr>
      <w:numPr>
        <w:ilvl w:val="2"/>
        <w:numId w:val="24"/>
      </w:numPr>
      <w:spacing w:after="60"/>
      <w:ind w:hanging="181"/>
    </w:pPr>
    <w:rPr>
      <w:rFonts w:ascii="Calibri" w:eastAsia="Verdana" w:hAnsi="Calibri" w:cs="Times New Roman"/>
    </w:rPr>
  </w:style>
  <w:style w:type="paragraph" w:customStyle="1" w:styleId="HEADINGBULLET">
    <w:name w:val="HEADING BULLET"/>
    <w:basedOn w:val="BulletList"/>
    <w:next w:val="Normal"/>
    <w:autoRedefine/>
    <w:qFormat/>
    <w:rsid w:val="00C96E53"/>
    <w:pPr>
      <w:keepNext/>
      <w:numPr>
        <w:ilvl w:val="0"/>
        <w:numId w:val="4"/>
      </w:numPr>
      <w:spacing w:before="120" w:after="120"/>
    </w:pPr>
    <w:rPr>
      <w:b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13"/>
      </w:numPr>
      <w:suppressAutoHyphens/>
      <w:spacing w:after="220" w:line="264" w:lineRule="auto"/>
      <w:jc w:val="both"/>
      <w:outlineLvl w:val="3"/>
    </w:pPr>
    <w:rPr>
      <w:rFonts w:eastAsiaTheme="minorEastAsia" w:cs="Times New Roman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13"/>
      </w:numPr>
      <w:suppressAutoHyphens/>
      <w:spacing w:after="220" w:line="264" w:lineRule="auto"/>
      <w:jc w:val="both"/>
      <w:outlineLvl w:val="2"/>
    </w:pPr>
    <w:rPr>
      <w:rFonts w:eastAsiaTheme="minorEastAsia" w:cs="Times New Roman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7C0B7F"/>
    <w:rPr>
      <w:rFonts w:ascii="Calibri" w:eastAsiaTheme="majorEastAsia" w:hAnsi="Calibri" w:cstheme="majorBidi"/>
      <w:b/>
      <w:noProof/>
      <w:color w:val="224571" w:themeColor="text2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7E0E5D"/>
    <w:rPr>
      <w:rFonts w:ascii="Calibri" w:eastAsiaTheme="majorEastAsia" w:hAnsi="Calibri" w:cstheme="majorBidi"/>
      <w:b/>
      <w:color w:val="EF7C00" w:themeColor="accent1"/>
      <w:sz w:val="3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ondlevel">
    <w:name w:val="Second level"/>
    <w:basedOn w:val="BulletPoint"/>
    <w:autoRedefine/>
    <w:rsid w:val="00F518DB"/>
    <w:pPr>
      <w:numPr>
        <w:numId w:val="22"/>
      </w:numPr>
    </w:pPr>
    <w:rPr>
      <w:lang w:val="fr-FR"/>
    </w:r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36690E"/>
    <w:rPr>
      <w:rFonts w:asciiTheme="majorHAnsi" w:eastAsiaTheme="majorEastAsia" w:hAnsiTheme="majorHAnsi" w:cstheme="majorBidi"/>
      <w:b/>
      <w:color w:val="4F7865" w:themeColor="accent5"/>
      <w:sz w:val="28"/>
    </w:rPr>
  </w:style>
  <w:style w:type="character" w:styleId="Hyperlink">
    <w:name w:val="Hyperlink"/>
    <w:basedOn w:val="DefaultParagraphFont"/>
    <w:uiPriority w:val="99"/>
    <w:unhideWhenUsed/>
    <w:rsid w:val="002770E7"/>
    <w:rPr>
      <w:color w:val="515D8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6B2316"/>
    <w:pPr>
      <w:ind w:left="720"/>
      <w:contextualSpacing/>
    </w:pPr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724"/>
    <w:rPr>
      <w:rFonts w:asciiTheme="majorHAnsi" w:eastAsiaTheme="majorEastAsia" w:hAnsiTheme="majorHAnsi" w:cstheme="majorBidi"/>
      <w:sz w:val="24"/>
    </w:rPr>
  </w:style>
  <w:style w:type="paragraph" w:styleId="Subtitle">
    <w:name w:val="Subtitle"/>
    <w:aliases w:val="Subtitle Small,Subtitle  Small"/>
    <w:basedOn w:val="Normal"/>
    <w:next w:val="Normal"/>
    <w:link w:val="SubtitleChar"/>
    <w:uiPriority w:val="11"/>
    <w:qFormat/>
    <w:rsid w:val="00EB2724"/>
    <w:pPr>
      <w:numPr>
        <w:ilvl w:val="1"/>
      </w:numPr>
    </w:pPr>
    <w:rPr>
      <w:rFonts w:eastAsiaTheme="minorEastAsia"/>
      <w:sz w:val="20"/>
      <w:szCs w:val="22"/>
    </w:rPr>
  </w:style>
  <w:style w:type="character" w:customStyle="1" w:styleId="SubtitleChar">
    <w:name w:val="Subtitle Char"/>
    <w:aliases w:val="Subtitle Small Char,Subtitle  Small Char"/>
    <w:basedOn w:val="DefaultParagraphFont"/>
    <w:link w:val="Subtitle"/>
    <w:uiPriority w:val="11"/>
    <w:rsid w:val="00EB2724"/>
    <w:rPr>
      <w:rFonts w:eastAsiaTheme="minorEastAsia"/>
      <w:sz w:val="20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B272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2724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B2724"/>
    <w:rPr>
      <w:rFonts w:ascii="Calibri" w:hAnsi="Calibri"/>
      <w:smallCaps/>
      <w:color w:val="224571" w:themeColor="text2"/>
      <w:sz w:val="24"/>
    </w:rPr>
  </w:style>
  <w:style w:type="paragraph" w:customStyle="1" w:styleId="TitleDoc">
    <w:name w:val="Title Doc"/>
    <w:basedOn w:val="Heading1"/>
    <w:next w:val="Normal"/>
    <w:link w:val="TitleDocChar"/>
    <w:qFormat/>
    <w:rsid w:val="007E0E5D"/>
    <w:pPr>
      <w:spacing w:after="240"/>
    </w:pPr>
    <w:rPr>
      <w:color w:val="EF7C00" w:themeColor="accent1"/>
      <w:sz w:val="36"/>
    </w:rPr>
  </w:style>
  <w:style w:type="character" w:styleId="Strong">
    <w:name w:val="Strong"/>
    <w:basedOn w:val="DefaultParagraphFont"/>
    <w:uiPriority w:val="22"/>
    <w:qFormat/>
    <w:rsid w:val="007E0E5D"/>
    <w:rPr>
      <w:b/>
      <w:bCs/>
    </w:rPr>
  </w:style>
  <w:style w:type="character" w:customStyle="1" w:styleId="TitleDocChar">
    <w:name w:val="Title Doc Char"/>
    <w:basedOn w:val="Heading1Char"/>
    <w:link w:val="TitleDoc"/>
    <w:rsid w:val="007E0E5D"/>
    <w:rPr>
      <w:rFonts w:ascii="Calibri" w:eastAsiaTheme="majorEastAsia" w:hAnsi="Calibri" w:cstheme="majorBidi"/>
      <w:b/>
      <w:noProof/>
      <w:color w:val="EF7C00" w:themeColor="accent1"/>
      <w:sz w:val="36"/>
      <w:szCs w:val="60"/>
    </w:rPr>
  </w:style>
  <w:style w:type="character" w:styleId="Emphasis">
    <w:name w:val="Emphasis"/>
    <w:basedOn w:val="DefaultParagraphFont"/>
    <w:uiPriority w:val="20"/>
    <w:qFormat/>
    <w:rsid w:val="007E0E5D"/>
    <w:rPr>
      <w:iCs/>
      <w:color w:val="4F7865" w:themeColor="accent5"/>
      <w:sz w:val="28"/>
    </w:rPr>
  </w:style>
  <w:style w:type="paragraph" w:customStyle="1" w:styleId="ListofParagraph-">
    <w:name w:val="List of Paragraph-"/>
    <w:basedOn w:val="Normal"/>
    <w:link w:val="ListofParagraph-Char"/>
    <w:qFormat/>
    <w:rsid w:val="00E14AE1"/>
    <w:pPr>
      <w:numPr>
        <w:numId w:val="29"/>
      </w:numPr>
      <w:spacing w:after="60"/>
      <w:ind w:left="357" w:hanging="357"/>
    </w:pPr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77BE"/>
    <w:rPr>
      <w:sz w:val="24"/>
    </w:rPr>
  </w:style>
  <w:style w:type="character" w:customStyle="1" w:styleId="ListofParagraph-Char">
    <w:name w:val="List of Paragraph- Char"/>
    <w:basedOn w:val="ListParagraphChar"/>
    <w:link w:val="ListofParagraph-"/>
    <w:rsid w:val="00E14AE1"/>
    <w:rPr>
      <w:rFonts w:ascii="Calibri" w:hAnsi="Calibri" w:cs="Times New Roman"/>
      <w:sz w:val="24"/>
    </w:rPr>
  </w:style>
  <w:style w:type="paragraph" w:customStyle="1" w:styleId="ListParagraph-">
    <w:name w:val="List Paragraph-"/>
    <w:basedOn w:val="Normal"/>
    <w:autoRedefine/>
    <w:qFormat/>
    <w:rsid w:val="00E14AE1"/>
    <w:pPr>
      <w:spacing w:after="0"/>
      <w:ind w:left="360" w:hanging="36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5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F87"/>
    <w:rPr>
      <w:b/>
      <w:bCs/>
      <w:sz w:val="20"/>
      <w:szCs w:val="20"/>
    </w:rPr>
  </w:style>
  <w:style w:type="paragraph" w:styleId="NormalIndent">
    <w:name w:val="Normal Indent"/>
    <w:basedOn w:val="Normal"/>
    <w:rsid w:val="008D4BA4"/>
    <w:pPr>
      <w:keepLines/>
      <w:spacing w:before="120" w:after="60"/>
      <w:ind w:left="471"/>
      <w:jc w:val="both"/>
    </w:pPr>
    <w:rPr>
      <w:rFonts w:ascii="Verdana" w:eastAsia="Times New Roman" w:hAnsi="Verdana" w:cs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4A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C5B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7337C1AA64D18AC31866683B2F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360A0-8E7D-4732-819E-68DD470778F3}"/>
      </w:docPartPr>
      <w:docPartBody>
        <w:p w:rsidR="009D75B9" w:rsidRDefault="009D75B9">
          <w:pPr>
            <w:pStyle w:val="CD47337C1AA64D18AC31866683B2F72F"/>
          </w:pPr>
          <w:r w:rsidRPr="000F58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B9"/>
    <w:rsid w:val="0056192B"/>
    <w:rsid w:val="006E0B73"/>
    <w:rsid w:val="009D75B9"/>
    <w:rsid w:val="00D833EF"/>
    <w:rsid w:val="00E6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D47337C1AA64D18AC31866683B2F72F">
    <w:name w:val="CD47337C1AA64D18AC31866683B2F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106706-4F78-43BD-BC22-E12DBF12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EPC Document</vt:lpstr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Document</dc:title>
  <dc:subject/>
  <dc:creator>Silvia Di Lillo</dc:creator>
  <cp:keywords/>
  <dc:description/>
  <cp:lastModifiedBy>C. Godefroi</cp:lastModifiedBy>
  <cp:revision>5</cp:revision>
  <cp:lastPrinted>2019-04-12T14:54:00Z</cp:lastPrinted>
  <dcterms:created xsi:type="dcterms:W3CDTF">2022-06-03T13:59:00Z</dcterms:created>
  <dcterms:modified xsi:type="dcterms:W3CDTF">2022-06-13T07:53:00Z</dcterms:modified>
</cp:coreProperties>
</file>